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31" w:rsidRDefault="00031031" w:rsidP="00D932E1">
      <w:pPr>
        <w:spacing w:after="0" w:line="240" w:lineRule="auto"/>
        <w:jc w:val="center"/>
        <w:rPr>
          <w:rFonts w:ascii="Arial" w:hAnsi="Arial" w:cs="Arial"/>
          <w:b/>
          <w:bCs/>
        </w:rPr>
      </w:pPr>
    </w:p>
    <w:p w:rsidR="00031031" w:rsidRDefault="00031031" w:rsidP="00D932E1">
      <w:pPr>
        <w:spacing w:after="0" w:line="240" w:lineRule="auto"/>
        <w:jc w:val="center"/>
        <w:rPr>
          <w:rFonts w:ascii="Arial" w:hAnsi="Arial" w:cs="Arial"/>
          <w:b/>
          <w:bCs/>
        </w:rPr>
      </w:pPr>
    </w:p>
    <w:p w:rsidR="00031031" w:rsidRDefault="00031031" w:rsidP="00D932E1">
      <w:pPr>
        <w:spacing w:after="0" w:line="240" w:lineRule="auto"/>
        <w:jc w:val="center"/>
        <w:rPr>
          <w:rFonts w:ascii="Arial" w:hAnsi="Arial" w:cs="Arial"/>
          <w:b/>
          <w:bCs/>
        </w:rPr>
      </w:pPr>
      <w:r>
        <w:rPr>
          <w:rFonts w:ascii="Arial" w:hAnsi="Arial" w:cs="Arial"/>
          <w:b/>
          <w:bCs/>
        </w:rPr>
        <w:t>Chapter 4</w:t>
      </w:r>
    </w:p>
    <w:p w:rsidR="00031031" w:rsidRDefault="00031031" w:rsidP="00D932E1">
      <w:pPr>
        <w:spacing w:after="0" w:line="240" w:lineRule="auto"/>
        <w:jc w:val="center"/>
        <w:rPr>
          <w:rFonts w:ascii="Arial" w:hAnsi="Arial" w:cs="Arial"/>
          <w:b/>
          <w:bCs/>
        </w:rPr>
      </w:pPr>
      <w:r>
        <w:rPr>
          <w:rFonts w:ascii="Arial" w:hAnsi="Arial" w:cs="Arial"/>
          <w:b/>
          <w:bCs/>
        </w:rPr>
        <w:t>NTA and the macro economy</w:t>
      </w:r>
    </w:p>
    <w:p w:rsidR="00031031" w:rsidRDefault="00031031" w:rsidP="00D932E1">
      <w:pPr>
        <w:spacing w:after="0" w:line="240" w:lineRule="auto"/>
        <w:jc w:val="center"/>
        <w:rPr>
          <w:rFonts w:ascii="Arial" w:hAnsi="Arial" w:cs="Arial"/>
          <w:b/>
          <w:bCs/>
        </w:rPr>
      </w:pPr>
    </w:p>
    <w:p w:rsidR="00031031" w:rsidRDefault="00031031" w:rsidP="00D932E1">
      <w:pPr>
        <w:rPr>
          <w:sz w:val="32"/>
          <w:szCs w:val="32"/>
        </w:rPr>
      </w:pPr>
    </w:p>
    <w:p w:rsidR="00031031" w:rsidRDefault="00031031" w:rsidP="00D932E1"/>
    <w:p w:rsidR="00031031" w:rsidRDefault="00031031" w:rsidP="00D932E1"/>
    <w:p w:rsidR="00031031" w:rsidRDefault="00031031" w:rsidP="00D932E1"/>
    <w:p w:rsidR="00031031" w:rsidRDefault="00031031" w:rsidP="00D932E1"/>
    <w:p w:rsidR="00031031" w:rsidRDefault="00031031" w:rsidP="00D932E1"/>
    <w:p w:rsidR="00031031" w:rsidRDefault="00031031" w:rsidP="00D932E1"/>
    <w:p w:rsidR="00031031" w:rsidRDefault="00031031" w:rsidP="00D932E1"/>
    <w:p w:rsidR="00031031" w:rsidRDefault="00031031" w:rsidP="00D932E1"/>
    <w:p w:rsidR="00031031" w:rsidRDefault="00031031" w:rsidP="00D932E1"/>
    <w:p w:rsidR="00031031" w:rsidRDefault="00031031" w:rsidP="00D932E1"/>
    <w:p w:rsidR="00031031" w:rsidRDefault="00031031" w:rsidP="00D932E1"/>
    <w:p w:rsidR="00031031" w:rsidRDefault="00031031" w:rsidP="00D932E1"/>
    <w:p w:rsidR="00031031" w:rsidRDefault="00031031" w:rsidP="00D932E1"/>
    <w:p w:rsidR="00031031" w:rsidRDefault="00031031" w:rsidP="008D375B"/>
    <w:p w:rsidR="00031031" w:rsidRDefault="00031031" w:rsidP="008D375B"/>
    <w:p w:rsidR="00031031" w:rsidRDefault="00031031" w:rsidP="008D375B"/>
    <w:p w:rsidR="00031031" w:rsidRPr="00F34D87" w:rsidRDefault="00031031" w:rsidP="008D375B">
      <w:r>
        <w:br w:type="page"/>
      </w:r>
      <w:r>
        <w:lastRenderedPageBreak/>
        <w:t>4.1 Introduction</w:t>
      </w:r>
    </w:p>
    <w:p w:rsidR="00031031" w:rsidRDefault="00031031" w:rsidP="00D31775">
      <w:r>
        <w:t xml:space="preserve">The purpose of this chapter is to explain how NTA aggregate flows can be constructed using data from the System of National Accounts (SNA). This is very important because it insures consistency with SNA, the mainstay for describing the aggregate economy. NTA and SNA have different purposes and conceptual frameworks, however. Some NTA variables, particularly related to private transfers, have no direct counterpart in SNA. Many NTA flows are identical to or can be can be constructed from SNA data. </w:t>
      </w:r>
    </w:p>
    <w:p w:rsidR="00031031" w:rsidRDefault="00031031" w:rsidP="00D31775">
      <w:r>
        <w:t xml:space="preserve">Age groups are fundamental to NTA and all flows are classified by the age of the residents to whom and from whom they flow. The government is considered an intermediary in NTA and public flows are classified by the age of taxpayers or beneficiaries of public programmes. Private institutions, e.g., households, corporations and non-profit institutions are also treated as intermediaries or agents that represent the interest of residents. In order to construct a complete set of accounts, flows to and from the rest of the world (ROW) are also documented. Unless otherwise indicated, flows refer to flows to or from residents. The aggregate macro controls described in this chapter consist of NTA flows aggregated across all ages. </w:t>
      </w:r>
    </w:p>
    <w:p w:rsidR="00031031" w:rsidRDefault="00031031" w:rsidP="00D31775">
      <w:r>
        <w:t xml:space="preserve">NTA accounts are naturally divided into three sub-accounts each discussed in detail in subsequent chapters. The three tables presented here provide the aggregate controls and also a very broad overview of the generational economy. The first sub-account is the lifecycle account and the aggregate values required to construct NTA are shown in table 4.1 on aggregate life cycle flows. </w:t>
      </w:r>
    </w:p>
    <w:tbl>
      <w:tblPr>
        <w:tblW w:w="7138" w:type="dxa"/>
        <w:tblInd w:w="93" w:type="dxa"/>
        <w:tblLook w:val="00A0"/>
      </w:tblPr>
      <w:tblGrid>
        <w:gridCol w:w="6419"/>
        <w:gridCol w:w="719"/>
      </w:tblGrid>
      <w:tr w:rsidR="00031031" w:rsidRPr="004113A4" w:rsidTr="00993ECE">
        <w:trPr>
          <w:trHeight w:val="300"/>
        </w:trPr>
        <w:tc>
          <w:tcPr>
            <w:tcW w:w="7138" w:type="dxa"/>
            <w:gridSpan w:val="2"/>
            <w:tcBorders>
              <w:top w:val="nil"/>
              <w:left w:val="nil"/>
              <w:bottom w:val="single" w:sz="4" w:space="0" w:color="auto"/>
              <w:right w:val="nil"/>
            </w:tcBorders>
            <w:noWrap/>
            <w:vAlign w:val="bottom"/>
          </w:tcPr>
          <w:p w:rsidR="00031031" w:rsidRPr="00D31775" w:rsidRDefault="00031031" w:rsidP="00D31775">
            <w:pPr>
              <w:spacing w:after="0" w:line="240" w:lineRule="auto"/>
              <w:rPr>
                <w:color w:val="000000"/>
              </w:rPr>
            </w:pPr>
            <w:r w:rsidRPr="00D31775">
              <w:rPr>
                <w:color w:val="000000"/>
              </w:rPr>
              <w:t>Table 4.1</w:t>
            </w:r>
            <w:r>
              <w:rPr>
                <w:color w:val="000000"/>
              </w:rPr>
              <w:t>.</w:t>
            </w:r>
            <w:r w:rsidRPr="00D31775">
              <w:rPr>
                <w:color w:val="000000"/>
              </w:rPr>
              <w:t xml:space="preserve"> Aggregate lifecycle flows, </w:t>
            </w:r>
            <w:smartTag w:uri="urn:schemas-microsoft-com:office:smarttags" w:element="place">
              <w:smartTag w:uri="urn:schemas-microsoft-com:office:smarttags" w:element="country-region">
                <w:r w:rsidRPr="00D31775">
                  <w:rPr>
                    <w:color w:val="000000"/>
                  </w:rPr>
                  <w:t>Mexico</w:t>
                </w:r>
              </w:smartTag>
            </w:smartTag>
            <w:r w:rsidRPr="00D31775">
              <w:rPr>
                <w:color w:val="000000"/>
              </w:rPr>
              <w:t>, 2004</w:t>
            </w:r>
            <w:r>
              <w:rPr>
                <w:color w:val="000000"/>
              </w:rPr>
              <w:t xml:space="preserve"> </w:t>
            </w:r>
            <w:r w:rsidRPr="00D31775">
              <w:rPr>
                <w:color w:val="000000"/>
              </w:rPr>
              <w:t>(</w:t>
            </w:r>
            <w:r>
              <w:rPr>
                <w:color w:val="000000"/>
              </w:rPr>
              <w:t>B</w:t>
            </w:r>
            <w:r w:rsidRPr="00D31775">
              <w:rPr>
                <w:color w:val="000000"/>
              </w:rPr>
              <w:t>illions</w:t>
            </w:r>
            <w:r>
              <w:rPr>
                <w:color w:val="000000"/>
              </w:rPr>
              <w:t xml:space="preserve"> of pesos</w:t>
            </w:r>
            <w:r w:rsidRPr="00D31775">
              <w:rPr>
                <w:color w:val="000000"/>
              </w:rPr>
              <w:t>)</w:t>
            </w:r>
          </w:p>
        </w:tc>
      </w:tr>
      <w:tr w:rsidR="00031031" w:rsidRPr="004113A4" w:rsidTr="00993ECE">
        <w:trPr>
          <w:trHeight w:val="300"/>
        </w:trPr>
        <w:tc>
          <w:tcPr>
            <w:tcW w:w="6419" w:type="dxa"/>
            <w:tcBorders>
              <w:top w:val="nil"/>
              <w:left w:val="nil"/>
              <w:bottom w:val="nil"/>
              <w:right w:val="nil"/>
            </w:tcBorders>
            <w:shd w:val="clear" w:color="000000" w:fill="FFFFFF"/>
            <w:noWrap/>
            <w:vAlign w:val="bottom"/>
          </w:tcPr>
          <w:p w:rsidR="00031031" w:rsidRPr="00D31775" w:rsidRDefault="00031031" w:rsidP="00D31775">
            <w:pPr>
              <w:spacing w:after="0" w:line="240" w:lineRule="auto"/>
              <w:rPr>
                <w:b/>
                <w:bCs/>
              </w:rPr>
            </w:pPr>
            <w:r w:rsidRPr="00D31775">
              <w:rPr>
                <w:b/>
                <w:bCs/>
              </w:rPr>
              <w:t>Life</w:t>
            </w:r>
            <w:r>
              <w:rPr>
                <w:b/>
                <w:bCs/>
              </w:rPr>
              <w:t xml:space="preserve"> </w:t>
            </w:r>
            <w:r w:rsidRPr="00D31775">
              <w:rPr>
                <w:b/>
                <w:bCs/>
              </w:rPr>
              <w:t xml:space="preserve">cycle </w:t>
            </w:r>
            <w:r>
              <w:rPr>
                <w:b/>
                <w:bCs/>
              </w:rPr>
              <w:t>d</w:t>
            </w:r>
            <w:r w:rsidRPr="00D31775">
              <w:rPr>
                <w:b/>
                <w:bCs/>
              </w:rPr>
              <w:t>eficit</w:t>
            </w:r>
          </w:p>
        </w:tc>
        <w:tc>
          <w:tcPr>
            <w:tcW w:w="719" w:type="dxa"/>
            <w:tcBorders>
              <w:top w:val="nil"/>
              <w:left w:val="nil"/>
              <w:bottom w:val="nil"/>
              <w:right w:val="nil"/>
            </w:tcBorders>
            <w:shd w:val="clear" w:color="000000" w:fill="FFFFFF"/>
            <w:noWrap/>
            <w:vAlign w:val="bottom"/>
          </w:tcPr>
          <w:p w:rsidR="00031031" w:rsidRPr="00D31775" w:rsidRDefault="00031031" w:rsidP="00D31775">
            <w:pPr>
              <w:spacing w:after="0" w:line="240" w:lineRule="auto"/>
              <w:jc w:val="right"/>
              <w:rPr>
                <w:b/>
                <w:bCs/>
                <w:color w:val="000000"/>
              </w:rPr>
            </w:pPr>
            <w:r w:rsidRPr="00D31775">
              <w:rPr>
                <w:b/>
                <w:bCs/>
                <w:color w:val="000000"/>
              </w:rPr>
              <w:t>2,350</w:t>
            </w:r>
          </w:p>
        </w:tc>
      </w:tr>
      <w:tr w:rsidR="00031031" w:rsidRPr="004113A4" w:rsidTr="00993ECE">
        <w:trPr>
          <w:trHeight w:val="300"/>
        </w:trPr>
        <w:tc>
          <w:tcPr>
            <w:tcW w:w="6419" w:type="dxa"/>
            <w:tcBorders>
              <w:top w:val="nil"/>
              <w:left w:val="nil"/>
              <w:bottom w:val="nil"/>
              <w:right w:val="nil"/>
            </w:tcBorders>
            <w:shd w:val="clear" w:color="000000" w:fill="FFFFFF"/>
            <w:noWrap/>
            <w:vAlign w:val="bottom"/>
          </w:tcPr>
          <w:p w:rsidR="00031031" w:rsidRDefault="00031031" w:rsidP="00E502E9">
            <w:pPr>
              <w:spacing w:after="0" w:line="240" w:lineRule="auto"/>
              <w:ind w:firstLineChars="100" w:firstLine="221"/>
              <w:rPr>
                <w:b/>
                <w:bCs/>
              </w:rPr>
            </w:pPr>
            <w:r w:rsidRPr="00D31775">
              <w:rPr>
                <w:b/>
                <w:bCs/>
              </w:rPr>
              <w:t>Consumption</w:t>
            </w:r>
          </w:p>
        </w:tc>
        <w:tc>
          <w:tcPr>
            <w:tcW w:w="719" w:type="dxa"/>
            <w:tcBorders>
              <w:top w:val="nil"/>
              <w:left w:val="nil"/>
              <w:bottom w:val="nil"/>
              <w:right w:val="nil"/>
            </w:tcBorders>
            <w:shd w:val="clear" w:color="000000" w:fill="FFFFFF"/>
            <w:noWrap/>
            <w:vAlign w:val="bottom"/>
          </w:tcPr>
          <w:p w:rsidR="00031031" w:rsidRPr="00D31775" w:rsidRDefault="00031031" w:rsidP="00D31775">
            <w:pPr>
              <w:spacing w:after="0" w:line="240" w:lineRule="auto"/>
              <w:jc w:val="right"/>
              <w:rPr>
                <w:b/>
                <w:bCs/>
                <w:color w:val="000000"/>
              </w:rPr>
            </w:pPr>
            <w:r w:rsidRPr="00D31775">
              <w:rPr>
                <w:b/>
                <w:bCs/>
                <w:color w:val="000000"/>
              </w:rPr>
              <w:t>5,761</w:t>
            </w:r>
          </w:p>
        </w:tc>
      </w:tr>
      <w:tr w:rsidR="00031031" w:rsidRPr="004113A4" w:rsidTr="00993ECE">
        <w:trPr>
          <w:trHeight w:val="300"/>
        </w:trPr>
        <w:tc>
          <w:tcPr>
            <w:tcW w:w="6419" w:type="dxa"/>
            <w:tcBorders>
              <w:top w:val="nil"/>
              <w:left w:val="nil"/>
              <w:bottom w:val="nil"/>
              <w:right w:val="nil"/>
            </w:tcBorders>
            <w:shd w:val="clear" w:color="000000" w:fill="FFFFFF"/>
            <w:noWrap/>
            <w:vAlign w:val="bottom"/>
          </w:tcPr>
          <w:p w:rsidR="00031031" w:rsidRDefault="00031031" w:rsidP="000E7694">
            <w:pPr>
              <w:spacing w:after="0" w:line="240" w:lineRule="auto"/>
              <w:ind w:firstLineChars="200" w:firstLine="440"/>
            </w:pPr>
            <w:r w:rsidRPr="00D31775">
              <w:t xml:space="preserve">Public </w:t>
            </w:r>
            <w:r>
              <w:t>c</w:t>
            </w:r>
            <w:r w:rsidRPr="00D31775">
              <w:t>onsumption</w:t>
            </w:r>
          </w:p>
        </w:tc>
        <w:tc>
          <w:tcPr>
            <w:tcW w:w="719" w:type="dxa"/>
            <w:tcBorders>
              <w:top w:val="nil"/>
              <w:left w:val="nil"/>
              <w:bottom w:val="nil"/>
              <w:right w:val="nil"/>
            </w:tcBorders>
            <w:shd w:val="clear" w:color="000000" w:fill="FFFFFF"/>
            <w:noWrap/>
            <w:vAlign w:val="bottom"/>
          </w:tcPr>
          <w:p w:rsidR="00031031" w:rsidRPr="00D31775" w:rsidRDefault="00031031" w:rsidP="00D31775">
            <w:pPr>
              <w:spacing w:after="0" w:line="240" w:lineRule="auto"/>
              <w:jc w:val="right"/>
              <w:rPr>
                <w:color w:val="000000"/>
              </w:rPr>
            </w:pPr>
            <w:r w:rsidRPr="00D31775">
              <w:rPr>
                <w:color w:val="000000"/>
              </w:rPr>
              <w:t>914</w:t>
            </w:r>
          </w:p>
        </w:tc>
      </w:tr>
      <w:tr w:rsidR="00031031" w:rsidRPr="004113A4" w:rsidTr="00993ECE">
        <w:trPr>
          <w:trHeight w:val="300"/>
        </w:trPr>
        <w:tc>
          <w:tcPr>
            <w:tcW w:w="6419" w:type="dxa"/>
            <w:tcBorders>
              <w:top w:val="nil"/>
              <w:left w:val="nil"/>
              <w:bottom w:val="nil"/>
              <w:right w:val="nil"/>
            </w:tcBorders>
            <w:shd w:val="clear" w:color="000000" w:fill="FFFFFF"/>
            <w:noWrap/>
            <w:vAlign w:val="bottom"/>
          </w:tcPr>
          <w:p w:rsidR="00031031" w:rsidRDefault="00031031" w:rsidP="000E7694">
            <w:pPr>
              <w:spacing w:after="0" w:line="240" w:lineRule="auto"/>
              <w:ind w:firstLineChars="200" w:firstLine="440"/>
            </w:pPr>
            <w:r w:rsidRPr="00D31775">
              <w:t xml:space="preserve">Private </w:t>
            </w:r>
            <w:r>
              <w:t>c</w:t>
            </w:r>
            <w:r w:rsidRPr="00D31775">
              <w:t>onsumption</w:t>
            </w:r>
          </w:p>
        </w:tc>
        <w:tc>
          <w:tcPr>
            <w:tcW w:w="719" w:type="dxa"/>
            <w:tcBorders>
              <w:top w:val="nil"/>
              <w:left w:val="nil"/>
              <w:bottom w:val="nil"/>
              <w:right w:val="nil"/>
            </w:tcBorders>
            <w:shd w:val="clear" w:color="000000" w:fill="FFFFFF"/>
            <w:noWrap/>
            <w:vAlign w:val="bottom"/>
          </w:tcPr>
          <w:p w:rsidR="00031031" w:rsidRPr="00D31775" w:rsidRDefault="00031031" w:rsidP="00D31775">
            <w:pPr>
              <w:spacing w:after="0" w:line="240" w:lineRule="auto"/>
              <w:jc w:val="right"/>
              <w:rPr>
                <w:color w:val="000000"/>
              </w:rPr>
            </w:pPr>
            <w:r w:rsidRPr="00D31775">
              <w:rPr>
                <w:color w:val="000000"/>
              </w:rPr>
              <w:t>4,847</w:t>
            </w:r>
          </w:p>
        </w:tc>
      </w:tr>
      <w:tr w:rsidR="00031031" w:rsidRPr="004113A4" w:rsidTr="00993ECE">
        <w:trPr>
          <w:trHeight w:val="300"/>
        </w:trPr>
        <w:tc>
          <w:tcPr>
            <w:tcW w:w="6419" w:type="dxa"/>
            <w:tcBorders>
              <w:top w:val="nil"/>
              <w:left w:val="nil"/>
              <w:bottom w:val="nil"/>
              <w:right w:val="nil"/>
            </w:tcBorders>
            <w:noWrap/>
            <w:vAlign w:val="bottom"/>
          </w:tcPr>
          <w:p w:rsidR="00031031" w:rsidRDefault="00031031" w:rsidP="00E502E9">
            <w:pPr>
              <w:spacing w:after="0" w:line="240" w:lineRule="auto"/>
              <w:ind w:firstLineChars="100" w:firstLine="221"/>
              <w:rPr>
                <w:b/>
                <w:bCs/>
              </w:rPr>
            </w:pPr>
            <w:r>
              <w:rPr>
                <w:b/>
                <w:bCs/>
              </w:rPr>
              <w:t>Labour</w:t>
            </w:r>
            <w:r w:rsidRPr="00D31775">
              <w:rPr>
                <w:b/>
                <w:bCs/>
              </w:rPr>
              <w:t xml:space="preserve"> </w:t>
            </w:r>
            <w:r>
              <w:rPr>
                <w:b/>
                <w:bCs/>
              </w:rPr>
              <w:t>i</w:t>
            </w:r>
            <w:r w:rsidRPr="00D31775">
              <w:rPr>
                <w:b/>
                <w:bCs/>
              </w:rPr>
              <w:t xml:space="preserve">ncome </w:t>
            </w:r>
          </w:p>
        </w:tc>
        <w:tc>
          <w:tcPr>
            <w:tcW w:w="719" w:type="dxa"/>
            <w:tcBorders>
              <w:top w:val="nil"/>
              <w:left w:val="nil"/>
              <w:bottom w:val="nil"/>
              <w:right w:val="nil"/>
            </w:tcBorders>
            <w:shd w:val="clear" w:color="000000" w:fill="FFFFFF"/>
            <w:noWrap/>
            <w:vAlign w:val="bottom"/>
          </w:tcPr>
          <w:p w:rsidR="00031031" w:rsidRPr="00D31775" w:rsidRDefault="00031031" w:rsidP="00D31775">
            <w:pPr>
              <w:spacing w:after="0" w:line="240" w:lineRule="auto"/>
              <w:jc w:val="right"/>
              <w:rPr>
                <w:b/>
                <w:bCs/>
                <w:color w:val="000000"/>
              </w:rPr>
            </w:pPr>
            <w:r w:rsidRPr="00D31775">
              <w:rPr>
                <w:b/>
                <w:bCs/>
                <w:color w:val="000000"/>
              </w:rPr>
              <w:t>3,411</w:t>
            </w:r>
          </w:p>
        </w:tc>
      </w:tr>
      <w:tr w:rsidR="00031031" w:rsidRPr="004113A4" w:rsidTr="00993ECE">
        <w:trPr>
          <w:trHeight w:val="300"/>
        </w:trPr>
        <w:tc>
          <w:tcPr>
            <w:tcW w:w="6419" w:type="dxa"/>
            <w:tcBorders>
              <w:top w:val="nil"/>
              <w:left w:val="nil"/>
              <w:bottom w:val="nil"/>
              <w:right w:val="nil"/>
            </w:tcBorders>
            <w:noWrap/>
            <w:vAlign w:val="bottom"/>
          </w:tcPr>
          <w:p w:rsidR="00031031" w:rsidRDefault="00031031" w:rsidP="000E7694">
            <w:pPr>
              <w:spacing w:after="0" w:line="240" w:lineRule="auto"/>
              <w:ind w:firstLineChars="200" w:firstLine="440"/>
            </w:pPr>
            <w:r w:rsidRPr="00D31775">
              <w:t>Earnings</w:t>
            </w:r>
          </w:p>
        </w:tc>
        <w:tc>
          <w:tcPr>
            <w:tcW w:w="719" w:type="dxa"/>
            <w:tcBorders>
              <w:top w:val="nil"/>
              <w:left w:val="nil"/>
              <w:bottom w:val="nil"/>
              <w:right w:val="nil"/>
            </w:tcBorders>
            <w:shd w:val="clear" w:color="000000" w:fill="FFFFFF"/>
            <w:noWrap/>
            <w:vAlign w:val="bottom"/>
          </w:tcPr>
          <w:p w:rsidR="00031031" w:rsidRPr="00D31775" w:rsidRDefault="00031031" w:rsidP="00D31775">
            <w:pPr>
              <w:spacing w:after="0" w:line="240" w:lineRule="auto"/>
              <w:jc w:val="right"/>
              <w:rPr>
                <w:color w:val="000000"/>
              </w:rPr>
            </w:pPr>
            <w:r w:rsidRPr="00D31775">
              <w:rPr>
                <w:color w:val="000000"/>
              </w:rPr>
              <w:t>2,406</w:t>
            </w:r>
          </w:p>
        </w:tc>
      </w:tr>
      <w:tr w:rsidR="00031031" w:rsidRPr="004113A4" w:rsidTr="00993ECE">
        <w:trPr>
          <w:trHeight w:val="300"/>
        </w:trPr>
        <w:tc>
          <w:tcPr>
            <w:tcW w:w="6419" w:type="dxa"/>
            <w:tcBorders>
              <w:top w:val="nil"/>
              <w:left w:val="nil"/>
              <w:bottom w:val="single" w:sz="4" w:space="0" w:color="auto"/>
              <w:right w:val="nil"/>
            </w:tcBorders>
            <w:noWrap/>
            <w:vAlign w:val="bottom"/>
          </w:tcPr>
          <w:p w:rsidR="00031031" w:rsidRDefault="00031031" w:rsidP="000E7694">
            <w:pPr>
              <w:spacing w:after="0" w:line="240" w:lineRule="auto"/>
              <w:ind w:firstLineChars="200" w:firstLine="440"/>
            </w:pPr>
            <w:r w:rsidRPr="00D31775">
              <w:t xml:space="preserve">Self-employment </w:t>
            </w:r>
            <w:r>
              <w:t>labour</w:t>
            </w:r>
            <w:r w:rsidRPr="00D31775">
              <w:t xml:space="preserve"> </w:t>
            </w:r>
            <w:r>
              <w:t>i</w:t>
            </w:r>
            <w:r w:rsidRPr="00D31775">
              <w:t>ncome</w:t>
            </w:r>
          </w:p>
        </w:tc>
        <w:tc>
          <w:tcPr>
            <w:tcW w:w="719" w:type="dxa"/>
            <w:tcBorders>
              <w:top w:val="nil"/>
              <w:left w:val="nil"/>
              <w:bottom w:val="single" w:sz="4" w:space="0" w:color="auto"/>
              <w:right w:val="nil"/>
            </w:tcBorders>
            <w:shd w:val="clear" w:color="000000" w:fill="FFFFFF"/>
            <w:noWrap/>
            <w:vAlign w:val="bottom"/>
          </w:tcPr>
          <w:p w:rsidR="00031031" w:rsidRPr="00D31775" w:rsidRDefault="00031031" w:rsidP="00D31775">
            <w:pPr>
              <w:spacing w:after="0" w:line="240" w:lineRule="auto"/>
              <w:jc w:val="right"/>
              <w:rPr>
                <w:color w:val="000000"/>
              </w:rPr>
            </w:pPr>
            <w:r w:rsidRPr="00D31775">
              <w:rPr>
                <w:color w:val="000000"/>
              </w:rPr>
              <w:t>1,005</w:t>
            </w:r>
          </w:p>
        </w:tc>
      </w:tr>
    </w:tbl>
    <w:p w:rsidR="00031031" w:rsidRDefault="00031031" w:rsidP="00D31775">
      <w:pPr>
        <w:rPr>
          <w:color w:val="000000"/>
        </w:rPr>
      </w:pPr>
      <w:r w:rsidRPr="00A60BD1">
        <w:rPr>
          <w:color w:val="000000"/>
        </w:rPr>
        <w:t>Source:</w:t>
      </w:r>
      <w:r>
        <w:rPr>
          <w:color w:val="000000"/>
        </w:rPr>
        <w:t xml:space="preserve"> </w:t>
      </w:r>
      <w:r w:rsidRPr="00A60BD1">
        <w:rPr>
          <w:color w:val="000000"/>
        </w:rPr>
        <w:t>Estimates by Ivan Mejia Guevara from www.ntaccounts.org</w:t>
      </w:r>
      <w:r>
        <w:rPr>
          <w:color w:val="000000"/>
        </w:rPr>
        <w:t>,</w:t>
      </w:r>
      <w:r w:rsidRPr="00A60BD1">
        <w:rPr>
          <w:color w:val="000000"/>
        </w:rPr>
        <w:t xml:space="preserve"> accessed </w:t>
      </w:r>
      <w:r>
        <w:rPr>
          <w:color w:val="000000"/>
        </w:rPr>
        <w:t xml:space="preserve">27 </w:t>
      </w:r>
      <w:r w:rsidRPr="00A60BD1">
        <w:rPr>
          <w:color w:val="000000"/>
        </w:rPr>
        <w:t>January 2013.</w:t>
      </w:r>
    </w:p>
    <w:p w:rsidR="00031031" w:rsidRDefault="00031031" w:rsidP="00D31775">
      <w:r>
        <w:t xml:space="preserve">The life cycle deficit is an NTA variable, equal to consumption less labour income, and it has no counterpart in SNA. Other components of the life cycle flows are constructed directly from SNA data with adjustments described in detail below. </w:t>
      </w:r>
    </w:p>
    <w:p w:rsidR="00031031" w:rsidRDefault="00031031" w:rsidP="00D31775">
      <w:r>
        <w:t xml:space="preserve">Consumption, public consumption and private consumption are based on final consumption expenditure data in SNA. Labour income is an estimate of the value of the return to labour and it has no direct counterpart in SNA. Earnings is reported in SNA, although the NTA value requires an adjustment. SNA does not report the value of labour for self-employed and unpaid family workers, but this is estimated from mixed income. </w:t>
      </w:r>
    </w:p>
    <w:p w:rsidR="00031031" w:rsidRDefault="00031031" w:rsidP="0056689A">
      <w:r>
        <w:lastRenderedPageBreak/>
        <w:t>The variables that serve as aggregate controls for public age reallocations, discussed in additional detail in chapter 6, are presented in table 4.2. The high-level aggregations in table 4.2 have no counterpart in SNA, but are calculated from the components provided in the table.</w:t>
      </w:r>
    </w:p>
    <w:tbl>
      <w:tblPr>
        <w:tblW w:w="7160" w:type="dxa"/>
        <w:tblInd w:w="93" w:type="dxa"/>
        <w:tblLook w:val="00A0"/>
      </w:tblPr>
      <w:tblGrid>
        <w:gridCol w:w="5920"/>
        <w:gridCol w:w="1240"/>
      </w:tblGrid>
      <w:tr w:rsidR="00031031" w:rsidRPr="004113A4" w:rsidTr="00803CD0">
        <w:trPr>
          <w:trHeight w:val="300"/>
        </w:trPr>
        <w:tc>
          <w:tcPr>
            <w:tcW w:w="7160" w:type="dxa"/>
            <w:gridSpan w:val="2"/>
            <w:tcBorders>
              <w:top w:val="nil"/>
              <w:left w:val="nil"/>
              <w:bottom w:val="single" w:sz="4" w:space="0" w:color="auto"/>
              <w:right w:val="nil"/>
            </w:tcBorders>
            <w:noWrap/>
            <w:vAlign w:val="bottom"/>
          </w:tcPr>
          <w:p w:rsidR="00031031" w:rsidRPr="00803CD0" w:rsidRDefault="00031031" w:rsidP="00803CD0">
            <w:pPr>
              <w:spacing w:after="0" w:line="240" w:lineRule="auto"/>
              <w:rPr>
                <w:color w:val="000000"/>
              </w:rPr>
            </w:pPr>
            <w:r w:rsidRPr="00803CD0">
              <w:rPr>
                <w:color w:val="000000"/>
              </w:rPr>
              <w:t>Table 4.2</w:t>
            </w:r>
            <w:r>
              <w:rPr>
                <w:color w:val="000000"/>
              </w:rPr>
              <w:t xml:space="preserve">. </w:t>
            </w:r>
            <w:r w:rsidRPr="00803CD0">
              <w:rPr>
                <w:color w:val="000000"/>
              </w:rPr>
              <w:t xml:space="preserve">Aggregate public age reallocations, </w:t>
            </w:r>
            <w:smartTag w:uri="urn:schemas-microsoft-com:office:smarttags" w:element="place">
              <w:smartTag w:uri="urn:schemas-microsoft-com:office:smarttags" w:element="country-region">
                <w:r w:rsidRPr="00803CD0">
                  <w:rPr>
                    <w:color w:val="000000"/>
                  </w:rPr>
                  <w:t>Mexico</w:t>
                </w:r>
              </w:smartTag>
            </w:smartTag>
            <w:r w:rsidRPr="00803CD0">
              <w:rPr>
                <w:color w:val="000000"/>
              </w:rPr>
              <w:t>, 2004</w:t>
            </w:r>
            <w:r>
              <w:rPr>
                <w:color w:val="000000"/>
              </w:rPr>
              <w:t xml:space="preserve"> </w:t>
            </w:r>
            <w:r w:rsidRPr="00803CD0">
              <w:rPr>
                <w:color w:val="000000"/>
              </w:rPr>
              <w:t>(</w:t>
            </w:r>
            <w:r>
              <w:rPr>
                <w:color w:val="000000"/>
              </w:rPr>
              <w:t>B</w:t>
            </w:r>
            <w:r w:rsidRPr="00803CD0">
              <w:rPr>
                <w:color w:val="000000"/>
              </w:rPr>
              <w:t>illions</w:t>
            </w:r>
            <w:r>
              <w:rPr>
                <w:color w:val="000000"/>
              </w:rPr>
              <w:t xml:space="preserve"> of pesos</w:t>
            </w:r>
            <w:r w:rsidRPr="00803CD0">
              <w:rPr>
                <w:color w:val="000000"/>
              </w:rPr>
              <w:t>)</w:t>
            </w:r>
          </w:p>
        </w:tc>
      </w:tr>
      <w:tr w:rsidR="00031031" w:rsidRPr="004113A4" w:rsidTr="00803CD0">
        <w:trPr>
          <w:trHeight w:val="300"/>
        </w:trPr>
        <w:tc>
          <w:tcPr>
            <w:tcW w:w="5920" w:type="dxa"/>
            <w:tcBorders>
              <w:top w:val="nil"/>
              <w:left w:val="nil"/>
              <w:bottom w:val="nil"/>
              <w:right w:val="nil"/>
            </w:tcBorders>
            <w:noWrap/>
            <w:vAlign w:val="bottom"/>
          </w:tcPr>
          <w:p w:rsidR="00031031" w:rsidRPr="00803CD0" w:rsidRDefault="00031031" w:rsidP="00803CD0">
            <w:pPr>
              <w:spacing w:after="0" w:line="240" w:lineRule="auto"/>
              <w:rPr>
                <w:b/>
                <w:bCs/>
                <w:color w:val="000000"/>
              </w:rPr>
            </w:pPr>
            <w:r w:rsidRPr="00803CD0">
              <w:rPr>
                <w:b/>
                <w:bCs/>
                <w:color w:val="000000"/>
              </w:rPr>
              <w:t xml:space="preserve">Public </w:t>
            </w:r>
            <w:r>
              <w:rPr>
                <w:b/>
                <w:bCs/>
                <w:color w:val="000000"/>
              </w:rPr>
              <w:t>a</w:t>
            </w:r>
            <w:r w:rsidRPr="00803CD0">
              <w:rPr>
                <w:b/>
                <w:bCs/>
                <w:color w:val="000000"/>
              </w:rPr>
              <w:t xml:space="preserve">ge </w:t>
            </w:r>
            <w:r>
              <w:rPr>
                <w:b/>
                <w:bCs/>
                <w:color w:val="000000"/>
              </w:rPr>
              <w:t>r</w:t>
            </w:r>
            <w:r w:rsidRPr="00803CD0">
              <w:rPr>
                <w:b/>
                <w:bCs/>
                <w:color w:val="000000"/>
              </w:rPr>
              <w:t>eallocations</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b/>
                <w:bCs/>
                <w:color w:val="000000"/>
              </w:rPr>
            </w:pPr>
            <w:r w:rsidRPr="00803CD0">
              <w:rPr>
                <w:b/>
                <w:bCs/>
                <w:color w:val="000000"/>
              </w:rPr>
              <w:t>99.4</w:t>
            </w:r>
          </w:p>
        </w:tc>
      </w:tr>
      <w:tr w:rsidR="00031031" w:rsidRPr="004113A4" w:rsidTr="00803CD0">
        <w:trPr>
          <w:trHeight w:val="300"/>
        </w:trPr>
        <w:tc>
          <w:tcPr>
            <w:tcW w:w="5920" w:type="dxa"/>
            <w:tcBorders>
              <w:top w:val="nil"/>
              <w:left w:val="nil"/>
              <w:bottom w:val="nil"/>
              <w:right w:val="nil"/>
            </w:tcBorders>
            <w:noWrap/>
            <w:vAlign w:val="bottom"/>
          </w:tcPr>
          <w:p w:rsidR="00031031" w:rsidRPr="00803CD0" w:rsidRDefault="00031031" w:rsidP="00803CD0">
            <w:pPr>
              <w:spacing w:after="0" w:line="240" w:lineRule="auto"/>
              <w:rPr>
                <w:b/>
                <w:bCs/>
                <w:color w:val="000000"/>
              </w:rPr>
            </w:pPr>
            <w:r w:rsidRPr="00803CD0">
              <w:rPr>
                <w:b/>
                <w:bCs/>
                <w:color w:val="000000"/>
              </w:rPr>
              <w:t>Public transfers</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b/>
                <w:bCs/>
                <w:color w:val="000000"/>
              </w:rPr>
            </w:pPr>
            <w:r>
              <w:rPr>
                <w:b/>
                <w:bCs/>
                <w:color w:val="000000"/>
              </w:rPr>
              <w:t>–</w:t>
            </w:r>
            <w:r w:rsidRPr="00803CD0">
              <w:rPr>
                <w:b/>
                <w:bCs/>
                <w:color w:val="000000"/>
              </w:rPr>
              <w:t>0.2</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803CD0">
              <w:rPr>
                <w:color w:val="000000"/>
              </w:rPr>
              <w:t>Public transfer inflows</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1,236.8</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803CD0">
              <w:rPr>
                <w:color w:val="000000"/>
              </w:rPr>
              <w:t>Public transfers inflows, in-kind</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914.0</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803CD0">
              <w:rPr>
                <w:color w:val="000000"/>
              </w:rPr>
              <w:t>Public transfers inflows, cash</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322.8</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803CD0">
              <w:rPr>
                <w:color w:val="000000"/>
              </w:rPr>
              <w:t>Public transfer outflows</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1,236.9</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803CD0">
              <w:rPr>
                <w:color w:val="000000"/>
              </w:rPr>
              <w:t>Taxes and other revenues</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1,137.4</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803CD0">
              <w:rPr>
                <w:color w:val="000000"/>
              </w:rPr>
              <w:t>Transfer deficit(+)/surplus (-)</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99.5</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803CD0">
              <w:rPr>
                <w:color w:val="000000"/>
              </w:rPr>
              <w:t>Net public transfers from ROW</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-0.2</w:t>
            </w:r>
          </w:p>
        </w:tc>
      </w:tr>
      <w:tr w:rsidR="00031031" w:rsidRPr="004113A4" w:rsidTr="00803CD0">
        <w:trPr>
          <w:trHeight w:val="300"/>
        </w:trPr>
        <w:tc>
          <w:tcPr>
            <w:tcW w:w="5920" w:type="dxa"/>
            <w:tcBorders>
              <w:top w:val="nil"/>
              <w:left w:val="nil"/>
              <w:bottom w:val="nil"/>
              <w:right w:val="nil"/>
            </w:tcBorders>
            <w:noWrap/>
            <w:vAlign w:val="bottom"/>
          </w:tcPr>
          <w:p w:rsidR="00031031" w:rsidRPr="00803CD0" w:rsidRDefault="00031031" w:rsidP="00803CD0">
            <w:pPr>
              <w:spacing w:after="0" w:line="240" w:lineRule="auto"/>
              <w:rPr>
                <w:b/>
                <w:bCs/>
                <w:color w:val="000000"/>
              </w:rPr>
            </w:pPr>
            <w:r w:rsidRPr="00803CD0">
              <w:rPr>
                <w:b/>
                <w:bCs/>
                <w:color w:val="000000"/>
              </w:rPr>
              <w:t>Public asset</w:t>
            </w:r>
            <w:r>
              <w:rPr>
                <w:b/>
                <w:bCs/>
                <w:color w:val="000000"/>
              </w:rPr>
              <w:t>–</w:t>
            </w:r>
            <w:r w:rsidRPr="00803CD0">
              <w:rPr>
                <w:b/>
                <w:bCs/>
                <w:color w:val="000000"/>
              </w:rPr>
              <w:t>based reallocations</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b/>
                <w:bCs/>
                <w:color w:val="000000"/>
              </w:rPr>
            </w:pPr>
            <w:r w:rsidRPr="00803CD0">
              <w:rPr>
                <w:b/>
                <w:bCs/>
                <w:color w:val="000000"/>
              </w:rPr>
              <w:t>99.5</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803CD0">
              <w:rPr>
                <w:color w:val="000000"/>
              </w:rPr>
              <w:t>Public asset income</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307.7</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803CD0">
              <w:rPr>
                <w:color w:val="000000"/>
              </w:rPr>
              <w:t>Public capital income</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0.0</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803CD0">
              <w:rPr>
                <w:color w:val="000000"/>
              </w:rPr>
              <w:t>Public property income</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307.7</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803CD0">
              <w:rPr>
                <w:color w:val="000000"/>
              </w:rPr>
              <w:t>Public property income inflows</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495.4</w:t>
            </w:r>
          </w:p>
        </w:tc>
      </w:tr>
      <w:tr w:rsidR="00031031" w:rsidRPr="004113A4" w:rsidTr="00803CD0">
        <w:trPr>
          <w:trHeight w:val="300"/>
        </w:trPr>
        <w:tc>
          <w:tcPr>
            <w:tcW w:w="5920"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803CD0">
              <w:rPr>
                <w:color w:val="000000"/>
              </w:rPr>
              <w:t>Public property income outflows</w:t>
            </w:r>
          </w:p>
        </w:tc>
        <w:tc>
          <w:tcPr>
            <w:tcW w:w="1240" w:type="dxa"/>
            <w:tcBorders>
              <w:top w:val="nil"/>
              <w:left w:val="nil"/>
              <w:bottom w:val="nil"/>
              <w:right w:val="nil"/>
            </w:tcBorders>
            <w:noWrap/>
            <w:vAlign w:val="bottom"/>
          </w:tcPr>
          <w:p w:rsidR="00031031" w:rsidRPr="00803CD0" w:rsidRDefault="00031031" w:rsidP="00803CD0">
            <w:pPr>
              <w:spacing w:after="0" w:line="240" w:lineRule="auto"/>
              <w:jc w:val="right"/>
              <w:rPr>
                <w:color w:val="000000"/>
              </w:rPr>
            </w:pPr>
            <w:r w:rsidRPr="00803CD0">
              <w:rPr>
                <w:color w:val="000000"/>
              </w:rPr>
              <w:t>187.7</w:t>
            </w:r>
          </w:p>
        </w:tc>
      </w:tr>
      <w:tr w:rsidR="00031031" w:rsidRPr="004113A4" w:rsidTr="00803CD0">
        <w:trPr>
          <w:trHeight w:val="300"/>
        </w:trPr>
        <w:tc>
          <w:tcPr>
            <w:tcW w:w="5920" w:type="dxa"/>
            <w:tcBorders>
              <w:top w:val="nil"/>
              <w:left w:val="nil"/>
              <w:bottom w:val="single" w:sz="4" w:space="0" w:color="auto"/>
              <w:right w:val="nil"/>
            </w:tcBorders>
            <w:noWrap/>
            <w:vAlign w:val="bottom"/>
          </w:tcPr>
          <w:p w:rsidR="00031031" w:rsidRDefault="00031031" w:rsidP="000E7694">
            <w:pPr>
              <w:spacing w:after="0" w:line="240" w:lineRule="auto"/>
              <w:ind w:firstLineChars="100" w:firstLine="220"/>
              <w:rPr>
                <w:color w:val="000000"/>
              </w:rPr>
            </w:pPr>
            <w:r w:rsidRPr="00803CD0">
              <w:rPr>
                <w:color w:val="000000"/>
              </w:rPr>
              <w:t>Public saving</w:t>
            </w:r>
          </w:p>
        </w:tc>
        <w:tc>
          <w:tcPr>
            <w:tcW w:w="1240" w:type="dxa"/>
            <w:tcBorders>
              <w:top w:val="nil"/>
              <w:left w:val="nil"/>
              <w:bottom w:val="single" w:sz="4" w:space="0" w:color="auto"/>
              <w:right w:val="nil"/>
            </w:tcBorders>
            <w:noWrap/>
            <w:vAlign w:val="bottom"/>
          </w:tcPr>
          <w:p w:rsidR="00031031" w:rsidRPr="00803CD0" w:rsidRDefault="00031031" w:rsidP="00803CD0">
            <w:pPr>
              <w:spacing w:after="0" w:line="240" w:lineRule="auto"/>
              <w:jc w:val="right"/>
              <w:rPr>
                <w:color w:val="000000"/>
              </w:rPr>
            </w:pPr>
            <w:r w:rsidRPr="00803CD0">
              <w:rPr>
                <w:color w:val="000000"/>
              </w:rPr>
              <w:t>208.2</w:t>
            </w:r>
          </w:p>
        </w:tc>
      </w:tr>
    </w:tbl>
    <w:p w:rsidR="00031031" w:rsidRDefault="00031031" w:rsidP="0056689A">
      <w:r w:rsidRPr="00A60BD1">
        <w:rPr>
          <w:color w:val="000000"/>
        </w:rPr>
        <w:t>Source:</w:t>
      </w:r>
      <w:r>
        <w:rPr>
          <w:color w:val="000000"/>
        </w:rPr>
        <w:t xml:space="preserve"> </w:t>
      </w:r>
      <w:r w:rsidRPr="00A60BD1">
        <w:rPr>
          <w:color w:val="000000"/>
        </w:rPr>
        <w:t>Estimates by Ivan Mejia Guevara from www.ntaccounts.org</w:t>
      </w:r>
      <w:r>
        <w:rPr>
          <w:color w:val="000000"/>
        </w:rPr>
        <w:t>,</w:t>
      </w:r>
      <w:r w:rsidRPr="00A60BD1">
        <w:rPr>
          <w:color w:val="000000"/>
        </w:rPr>
        <w:t xml:space="preserve"> accessed </w:t>
      </w:r>
      <w:r>
        <w:rPr>
          <w:color w:val="000000"/>
        </w:rPr>
        <w:t xml:space="preserve">27 </w:t>
      </w:r>
      <w:r w:rsidRPr="00A60BD1">
        <w:rPr>
          <w:color w:val="000000"/>
        </w:rPr>
        <w:t>January 2013.</w:t>
      </w:r>
    </w:p>
    <w:p w:rsidR="00031031" w:rsidRDefault="00031031" w:rsidP="00236102">
      <w:r>
        <w:t xml:space="preserve">Public transfer inflows consist of transfers received by members of the population that are mediated by the government, including all cash transfer programmes and all public provision of goods and services including both collective and individual consumption. These are calculated directly from SNA. Public transfer outflows refer to outflows from the resident population. When combined with net public transfers from ROW, they must equal public transfer inflows by definition. Public transfer outflows are funded by taxes and other public revenues, available from SNA. The transfer deficit/surplus is a balancing item that measures the shortfall or surplus of public revenues relative to public transfer inflows. This variable is unique to NTA. </w:t>
      </w:r>
    </w:p>
    <w:p w:rsidR="00031031" w:rsidRDefault="00031031" w:rsidP="00236102">
      <w:r>
        <w:t xml:space="preserve">All components of </w:t>
      </w:r>
      <w:r>
        <w:rPr>
          <w:i/>
        </w:rPr>
        <w:t>Public asset–based reallocations</w:t>
      </w:r>
      <w:r>
        <w:t xml:space="preserve"> are based on SNA data with adjustments required in some cases as described in more detail below.</w:t>
      </w:r>
    </w:p>
    <w:p w:rsidR="00031031" w:rsidRPr="00DC0C30" w:rsidRDefault="00031031" w:rsidP="00236102">
      <w:r>
        <w:t xml:space="preserve">The aggregate values for private age reallocations are presented in table 4.3. An important point is that some components of private age reallocations, those shaded in table 4.3, are not based on SNA or other available aggregate data. In some countries, private inter-household transfer macro controls may be available, but not in most cases. Private transfer inflows and outflows are estimated using the methods unique to NTA as described in chapter 7. They are reported here only to give a complete accounting of aggregate private age reallocations. The unshaded values in table 4.3 are constructed using methods introduced in this </w:t>
      </w:r>
      <w:r w:rsidRPr="00780AF1">
        <w:t>chapter</w:t>
      </w:r>
      <w:r>
        <w:t xml:space="preserve">. </w:t>
      </w:r>
    </w:p>
    <w:p w:rsidR="00031031" w:rsidRDefault="00031031" w:rsidP="00236102">
      <w:r>
        <w:lastRenderedPageBreak/>
        <w:t xml:space="preserve">Private transfers, private transfer inflows less private transfer outflows, can be estimated using SNA data because it is equal to net private transfer from the rest of the world by definition. </w:t>
      </w:r>
    </w:p>
    <w:p w:rsidR="00031031" w:rsidRDefault="00031031" w:rsidP="00132245">
      <w:r>
        <w:t xml:space="preserve">The components of private asset-based reallocations are readily constructed from SNA data as is detailed below. </w:t>
      </w:r>
    </w:p>
    <w:tbl>
      <w:tblPr>
        <w:tblW w:w="7060" w:type="dxa"/>
        <w:tblInd w:w="93" w:type="dxa"/>
        <w:tblLook w:val="00A0"/>
      </w:tblPr>
      <w:tblGrid>
        <w:gridCol w:w="6215"/>
        <w:gridCol w:w="845"/>
      </w:tblGrid>
      <w:tr w:rsidR="00031031" w:rsidRPr="004113A4" w:rsidTr="00766B38">
        <w:trPr>
          <w:trHeight w:val="300"/>
        </w:trPr>
        <w:tc>
          <w:tcPr>
            <w:tcW w:w="7060" w:type="dxa"/>
            <w:gridSpan w:val="2"/>
            <w:tcBorders>
              <w:top w:val="nil"/>
              <w:left w:val="nil"/>
              <w:bottom w:val="single" w:sz="4" w:space="0" w:color="auto"/>
              <w:right w:val="nil"/>
            </w:tcBorders>
            <w:noWrap/>
            <w:vAlign w:val="bottom"/>
          </w:tcPr>
          <w:p w:rsidR="00031031" w:rsidRPr="00766B38" w:rsidRDefault="00031031" w:rsidP="00766B38">
            <w:pPr>
              <w:spacing w:after="0" w:line="240" w:lineRule="auto"/>
              <w:rPr>
                <w:color w:val="000000"/>
              </w:rPr>
            </w:pPr>
            <w:r w:rsidRPr="00766B38">
              <w:rPr>
                <w:color w:val="000000"/>
              </w:rPr>
              <w:t>Table 4.3</w:t>
            </w:r>
            <w:r>
              <w:rPr>
                <w:color w:val="000000"/>
              </w:rPr>
              <w:t xml:space="preserve">. </w:t>
            </w:r>
            <w:r w:rsidRPr="00766B38">
              <w:rPr>
                <w:color w:val="000000"/>
              </w:rPr>
              <w:t xml:space="preserve">Aggregate private age reallocations, </w:t>
            </w:r>
            <w:smartTag w:uri="urn:schemas-microsoft-com:office:smarttags" w:element="place">
              <w:smartTag w:uri="urn:schemas-microsoft-com:office:smarttags" w:element="country-region">
                <w:r w:rsidRPr="00766B38">
                  <w:rPr>
                    <w:color w:val="000000"/>
                  </w:rPr>
                  <w:t>Mexico</w:t>
                </w:r>
              </w:smartTag>
            </w:smartTag>
            <w:r w:rsidRPr="00766B38">
              <w:rPr>
                <w:color w:val="000000"/>
              </w:rPr>
              <w:t>, 2004</w:t>
            </w:r>
            <w:r>
              <w:rPr>
                <w:color w:val="000000"/>
              </w:rPr>
              <w:t xml:space="preserve"> </w:t>
            </w:r>
            <w:r w:rsidRPr="00766B38">
              <w:rPr>
                <w:color w:val="000000"/>
              </w:rPr>
              <w:t>(</w:t>
            </w:r>
            <w:r>
              <w:rPr>
                <w:color w:val="000000"/>
              </w:rPr>
              <w:t>B</w:t>
            </w:r>
            <w:r w:rsidRPr="00766B38">
              <w:rPr>
                <w:color w:val="000000"/>
              </w:rPr>
              <w:t>illions</w:t>
            </w:r>
            <w:r>
              <w:rPr>
                <w:color w:val="000000"/>
              </w:rPr>
              <w:t xml:space="preserve"> of pesos</w:t>
            </w:r>
            <w:r w:rsidRPr="00766B38">
              <w:rPr>
                <w:color w:val="000000"/>
              </w:rPr>
              <w:t>)</w:t>
            </w:r>
          </w:p>
        </w:tc>
      </w:tr>
      <w:tr w:rsidR="00031031" w:rsidRPr="004113A4" w:rsidTr="00766B38">
        <w:trPr>
          <w:trHeight w:val="300"/>
        </w:trPr>
        <w:tc>
          <w:tcPr>
            <w:tcW w:w="6215" w:type="dxa"/>
            <w:tcBorders>
              <w:top w:val="nil"/>
              <w:left w:val="nil"/>
              <w:bottom w:val="nil"/>
              <w:right w:val="nil"/>
            </w:tcBorders>
            <w:noWrap/>
            <w:vAlign w:val="bottom"/>
          </w:tcPr>
          <w:p w:rsidR="00031031" w:rsidRPr="00766B38" w:rsidRDefault="00031031" w:rsidP="00766B38">
            <w:pPr>
              <w:spacing w:after="0" w:line="240" w:lineRule="auto"/>
              <w:rPr>
                <w:b/>
                <w:bCs/>
                <w:color w:val="000000"/>
              </w:rPr>
            </w:pPr>
            <w:r w:rsidRPr="00766B38">
              <w:rPr>
                <w:b/>
                <w:bCs/>
                <w:color w:val="000000"/>
              </w:rPr>
              <w:t xml:space="preserve">Age </w:t>
            </w:r>
            <w:r>
              <w:rPr>
                <w:b/>
                <w:bCs/>
                <w:color w:val="000000"/>
              </w:rPr>
              <w:t>r</w:t>
            </w:r>
            <w:r w:rsidRPr="00766B38">
              <w:rPr>
                <w:b/>
                <w:bCs/>
                <w:color w:val="000000"/>
              </w:rPr>
              <w:t>eallocations</w:t>
            </w:r>
          </w:p>
        </w:tc>
        <w:tc>
          <w:tcPr>
            <w:tcW w:w="845" w:type="dxa"/>
            <w:tcBorders>
              <w:top w:val="nil"/>
              <w:left w:val="nil"/>
              <w:bottom w:val="nil"/>
              <w:right w:val="nil"/>
            </w:tcBorders>
            <w:noWrap/>
            <w:vAlign w:val="bottom"/>
          </w:tcPr>
          <w:p w:rsidR="00031031" w:rsidRPr="00766B38" w:rsidRDefault="00031031" w:rsidP="00766B38">
            <w:pPr>
              <w:spacing w:after="0" w:line="240" w:lineRule="auto"/>
              <w:jc w:val="right"/>
              <w:rPr>
                <w:b/>
                <w:bCs/>
                <w:color w:val="000000"/>
              </w:rPr>
            </w:pPr>
            <w:r w:rsidRPr="00766B38">
              <w:rPr>
                <w:b/>
                <w:bCs/>
                <w:color w:val="000000"/>
              </w:rPr>
              <w:t>2,350</w:t>
            </w:r>
          </w:p>
        </w:tc>
      </w:tr>
      <w:tr w:rsidR="00031031" w:rsidRPr="004113A4" w:rsidTr="00766B38">
        <w:trPr>
          <w:trHeight w:val="300"/>
        </w:trPr>
        <w:tc>
          <w:tcPr>
            <w:tcW w:w="6215" w:type="dxa"/>
            <w:tcBorders>
              <w:top w:val="nil"/>
              <w:left w:val="nil"/>
              <w:bottom w:val="nil"/>
              <w:right w:val="nil"/>
            </w:tcBorders>
            <w:noWrap/>
            <w:vAlign w:val="bottom"/>
          </w:tcPr>
          <w:p w:rsidR="00031031" w:rsidRPr="00766B38" w:rsidRDefault="00031031" w:rsidP="00766B38">
            <w:pPr>
              <w:spacing w:after="0" w:line="240" w:lineRule="auto"/>
              <w:rPr>
                <w:b/>
                <w:bCs/>
                <w:color w:val="000000"/>
              </w:rPr>
            </w:pPr>
            <w:r w:rsidRPr="00766B38">
              <w:rPr>
                <w:b/>
                <w:bCs/>
                <w:color w:val="000000"/>
              </w:rPr>
              <w:t xml:space="preserve">Private </w:t>
            </w:r>
            <w:r>
              <w:rPr>
                <w:b/>
                <w:bCs/>
                <w:color w:val="000000"/>
              </w:rPr>
              <w:t>a</w:t>
            </w:r>
            <w:r w:rsidRPr="00766B38">
              <w:rPr>
                <w:b/>
                <w:bCs/>
                <w:color w:val="000000"/>
              </w:rPr>
              <w:t xml:space="preserve">ge </w:t>
            </w:r>
            <w:r>
              <w:rPr>
                <w:b/>
                <w:bCs/>
                <w:color w:val="000000"/>
              </w:rPr>
              <w:t>r</w:t>
            </w:r>
            <w:r w:rsidRPr="00766B38">
              <w:rPr>
                <w:b/>
                <w:bCs/>
                <w:color w:val="000000"/>
              </w:rPr>
              <w:t>eallocations</w:t>
            </w:r>
          </w:p>
        </w:tc>
        <w:tc>
          <w:tcPr>
            <w:tcW w:w="845" w:type="dxa"/>
            <w:tcBorders>
              <w:top w:val="nil"/>
              <w:left w:val="nil"/>
              <w:bottom w:val="nil"/>
              <w:right w:val="nil"/>
            </w:tcBorders>
            <w:noWrap/>
            <w:vAlign w:val="bottom"/>
          </w:tcPr>
          <w:p w:rsidR="00031031" w:rsidRPr="00766B38" w:rsidRDefault="00031031" w:rsidP="00766B38">
            <w:pPr>
              <w:spacing w:after="0" w:line="240" w:lineRule="auto"/>
              <w:jc w:val="right"/>
              <w:rPr>
                <w:b/>
                <w:bCs/>
                <w:color w:val="000000"/>
              </w:rPr>
            </w:pPr>
            <w:r w:rsidRPr="00766B38">
              <w:rPr>
                <w:b/>
                <w:bCs/>
                <w:color w:val="000000"/>
              </w:rPr>
              <w:t>2,251</w:t>
            </w:r>
          </w:p>
        </w:tc>
      </w:tr>
      <w:tr w:rsidR="00031031" w:rsidRPr="004113A4" w:rsidTr="00766B38">
        <w:trPr>
          <w:trHeight w:val="300"/>
        </w:trPr>
        <w:tc>
          <w:tcPr>
            <w:tcW w:w="6215" w:type="dxa"/>
            <w:tcBorders>
              <w:top w:val="nil"/>
              <w:left w:val="nil"/>
              <w:bottom w:val="nil"/>
              <w:right w:val="nil"/>
            </w:tcBorders>
            <w:noWrap/>
            <w:vAlign w:val="bottom"/>
          </w:tcPr>
          <w:p w:rsidR="00031031" w:rsidRPr="00766B38" w:rsidRDefault="00031031" w:rsidP="00766B38">
            <w:pPr>
              <w:spacing w:after="0" w:line="240" w:lineRule="auto"/>
              <w:rPr>
                <w:b/>
                <w:bCs/>
                <w:color w:val="000000"/>
              </w:rPr>
            </w:pPr>
            <w:r w:rsidRPr="00766B38">
              <w:rPr>
                <w:b/>
                <w:bCs/>
                <w:color w:val="000000"/>
              </w:rPr>
              <w:t>Private transfers</w:t>
            </w:r>
          </w:p>
        </w:tc>
        <w:tc>
          <w:tcPr>
            <w:tcW w:w="845" w:type="dxa"/>
            <w:tcBorders>
              <w:top w:val="nil"/>
              <w:left w:val="nil"/>
              <w:bottom w:val="nil"/>
              <w:right w:val="nil"/>
            </w:tcBorders>
            <w:noWrap/>
            <w:vAlign w:val="bottom"/>
          </w:tcPr>
          <w:p w:rsidR="00031031" w:rsidRPr="00766B38" w:rsidRDefault="00031031" w:rsidP="00766B38">
            <w:pPr>
              <w:spacing w:after="0" w:line="240" w:lineRule="auto"/>
              <w:jc w:val="right"/>
              <w:rPr>
                <w:b/>
                <w:bCs/>
                <w:color w:val="000000"/>
              </w:rPr>
            </w:pPr>
            <w:r w:rsidRPr="00766B38">
              <w:rPr>
                <w:b/>
                <w:bCs/>
                <w:color w:val="000000"/>
              </w:rPr>
              <w:t>194</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766B38">
              <w:rPr>
                <w:color w:val="000000"/>
              </w:rPr>
              <w:t>Private transfer inflows</w:t>
            </w:r>
          </w:p>
        </w:tc>
        <w:tc>
          <w:tcPr>
            <w:tcW w:w="845" w:type="dxa"/>
            <w:tcBorders>
              <w:top w:val="nil"/>
              <w:left w:val="nil"/>
              <w:bottom w:val="nil"/>
              <w:right w:val="nil"/>
            </w:tcBorders>
            <w:shd w:val="clear" w:color="000000" w:fill="BFBFBF"/>
            <w:noWrap/>
            <w:vAlign w:val="bottom"/>
          </w:tcPr>
          <w:p w:rsidR="00031031" w:rsidRPr="00766B38" w:rsidRDefault="00031031" w:rsidP="00766B38">
            <w:pPr>
              <w:spacing w:after="0" w:line="240" w:lineRule="auto"/>
              <w:jc w:val="right"/>
              <w:rPr>
                <w:color w:val="000000"/>
              </w:rPr>
            </w:pPr>
            <w:r w:rsidRPr="00766B38">
              <w:rPr>
                <w:color w:val="000000"/>
              </w:rPr>
              <w:t>2,229</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766B38">
              <w:rPr>
                <w:color w:val="000000"/>
              </w:rPr>
              <w:t>Private transfer inflows, inter</w:t>
            </w:r>
            <w:r>
              <w:rPr>
                <w:color w:val="000000"/>
              </w:rPr>
              <w:t>-</w:t>
            </w:r>
            <w:r w:rsidRPr="00766B38">
              <w:rPr>
                <w:color w:val="000000"/>
              </w:rPr>
              <w:t>household</w:t>
            </w:r>
          </w:p>
        </w:tc>
        <w:tc>
          <w:tcPr>
            <w:tcW w:w="845" w:type="dxa"/>
            <w:tcBorders>
              <w:top w:val="nil"/>
              <w:left w:val="nil"/>
              <w:bottom w:val="nil"/>
              <w:right w:val="nil"/>
            </w:tcBorders>
            <w:shd w:val="clear" w:color="000000" w:fill="BFBFBF"/>
            <w:noWrap/>
            <w:vAlign w:val="bottom"/>
          </w:tcPr>
          <w:p w:rsidR="00031031" w:rsidRPr="00766B38" w:rsidRDefault="00031031" w:rsidP="00766B38">
            <w:pPr>
              <w:spacing w:after="0" w:line="240" w:lineRule="auto"/>
              <w:jc w:val="right"/>
              <w:rPr>
                <w:color w:val="000000"/>
              </w:rPr>
            </w:pPr>
            <w:r w:rsidRPr="00766B38">
              <w:rPr>
                <w:color w:val="000000"/>
              </w:rPr>
              <w:t>285</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766B38">
              <w:rPr>
                <w:color w:val="000000"/>
              </w:rPr>
              <w:t>Private transfers inflows, intra</w:t>
            </w:r>
            <w:r>
              <w:rPr>
                <w:color w:val="000000"/>
              </w:rPr>
              <w:t>-</w:t>
            </w:r>
            <w:r w:rsidRPr="00766B38">
              <w:rPr>
                <w:color w:val="000000"/>
              </w:rPr>
              <w:t>household</w:t>
            </w:r>
          </w:p>
        </w:tc>
        <w:tc>
          <w:tcPr>
            <w:tcW w:w="845" w:type="dxa"/>
            <w:tcBorders>
              <w:top w:val="nil"/>
              <w:left w:val="nil"/>
              <w:bottom w:val="nil"/>
              <w:right w:val="nil"/>
            </w:tcBorders>
            <w:shd w:val="clear" w:color="000000" w:fill="BFBFBF"/>
            <w:noWrap/>
            <w:vAlign w:val="bottom"/>
          </w:tcPr>
          <w:p w:rsidR="00031031" w:rsidRPr="00766B38" w:rsidRDefault="00031031" w:rsidP="00766B38">
            <w:pPr>
              <w:spacing w:after="0" w:line="240" w:lineRule="auto"/>
              <w:jc w:val="right"/>
              <w:rPr>
                <w:color w:val="000000"/>
              </w:rPr>
            </w:pPr>
            <w:r w:rsidRPr="00766B38">
              <w:rPr>
                <w:color w:val="000000"/>
              </w:rPr>
              <w:t>1,944</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766B38">
              <w:rPr>
                <w:color w:val="000000"/>
              </w:rPr>
              <w:t>Private transfer outflows</w:t>
            </w:r>
          </w:p>
        </w:tc>
        <w:tc>
          <w:tcPr>
            <w:tcW w:w="845" w:type="dxa"/>
            <w:tcBorders>
              <w:top w:val="nil"/>
              <w:left w:val="nil"/>
              <w:bottom w:val="nil"/>
              <w:right w:val="nil"/>
            </w:tcBorders>
            <w:shd w:val="clear" w:color="000000" w:fill="BFBFBF"/>
            <w:noWrap/>
            <w:vAlign w:val="bottom"/>
          </w:tcPr>
          <w:p w:rsidR="00031031" w:rsidRPr="00766B38" w:rsidRDefault="00031031" w:rsidP="00766B38">
            <w:pPr>
              <w:spacing w:after="0" w:line="240" w:lineRule="auto"/>
              <w:jc w:val="right"/>
              <w:rPr>
                <w:color w:val="000000"/>
              </w:rPr>
            </w:pPr>
            <w:r w:rsidRPr="00766B38">
              <w:rPr>
                <w:color w:val="000000"/>
              </w:rPr>
              <w:t>2,035</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766B38">
              <w:rPr>
                <w:color w:val="000000"/>
              </w:rPr>
              <w:t>Private transfer inflows, inter</w:t>
            </w:r>
            <w:r>
              <w:rPr>
                <w:color w:val="000000"/>
              </w:rPr>
              <w:t>-</w:t>
            </w:r>
            <w:r w:rsidRPr="00766B38">
              <w:rPr>
                <w:color w:val="000000"/>
              </w:rPr>
              <w:t>household</w:t>
            </w:r>
          </w:p>
        </w:tc>
        <w:tc>
          <w:tcPr>
            <w:tcW w:w="845" w:type="dxa"/>
            <w:tcBorders>
              <w:top w:val="nil"/>
              <w:left w:val="nil"/>
              <w:bottom w:val="nil"/>
              <w:right w:val="nil"/>
            </w:tcBorders>
            <w:shd w:val="clear" w:color="000000" w:fill="BFBFBF"/>
            <w:noWrap/>
            <w:vAlign w:val="bottom"/>
          </w:tcPr>
          <w:p w:rsidR="00031031" w:rsidRPr="00766B38" w:rsidRDefault="00031031" w:rsidP="00766B38">
            <w:pPr>
              <w:spacing w:after="0" w:line="240" w:lineRule="auto"/>
              <w:jc w:val="right"/>
              <w:rPr>
                <w:color w:val="000000"/>
              </w:rPr>
            </w:pPr>
            <w:r w:rsidRPr="00766B38">
              <w:rPr>
                <w:color w:val="000000"/>
              </w:rPr>
              <w:t>92</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766B38">
              <w:rPr>
                <w:color w:val="000000"/>
              </w:rPr>
              <w:t>Private transfers inflows, intra</w:t>
            </w:r>
            <w:r>
              <w:rPr>
                <w:color w:val="000000"/>
              </w:rPr>
              <w:t>-</w:t>
            </w:r>
            <w:r w:rsidRPr="00766B38">
              <w:rPr>
                <w:color w:val="000000"/>
              </w:rPr>
              <w:t>household</w:t>
            </w:r>
          </w:p>
        </w:tc>
        <w:tc>
          <w:tcPr>
            <w:tcW w:w="845" w:type="dxa"/>
            <w:tcBorders>
              <w:top w:val="nil"/>
              <w:left w:val="nil"/>
              <w:bottom w:val="nil"/>
              <w:right w:val="nil"/>
            </w:tcBorders>
            <w:shd w:val="clear" w:color="000000" w:fill="BFBFBF"/>
            <w:noWrap/>
            <w:vAlign w:val="bottom"/>
          </w:tcPr>
          <w:p w:rsidR="00031031" w:rsidRPr="00766B38" w:rsidRDefault="00031031" w:rsidP="00766B38">
            <w:pPr>
              <w:spacing w:after="0" w:line="240" w:lineRule="auto"/>
              <w:jc w:val="right"/>
              <w:rPr>
                <w:color w:val="000000"/>
              </w:rPr>
            </w:pPr>
            <w:r w:rsidRPr="00766B38">
              <w:rPr>
                <w:color w:val="000000"/>
              </w:rPr>
              <w:t>1,944</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766B38">
              <w:rPr>
                <w:color w:val="000000"/>
              </w:rPr>
              <w:t xml:space="preserve">Net </w:t>
            </w:r>
            <w:r>
              <w:rPr>
                <w:color w:val="000000"/>
              </w:rPr>
              <w:t>p</w:t>
            </w:r>
            <w:r w:rsidRPr="00766B38">
              <w:rPr>
                <w:color w:val="000000"/>
              </w:rPr>
              <w:t>rivate transfers from ROW</w:t>
            </w:r>
          </w:p>
        </w:tc>
        <w:tc>
          <w:tcPr>
            <w:tcW w:w="845" w:type="dxa"/>
            <w:tcBorders>
              <w:top w:val="nil"/>
              <w:left w:val="nil"/>
              <w:bottom w:val="nil"/>
              <w:right w:val="nil"/>
            </w:tcBorders>
            <w:noWrap/>
            <w:vAlign w:val="bottom"/>
          </w:tcPr>
          <w:p w:rsidR="00031031" w:rsidRPr="00766B38" w:rsidRDefault="00031031" w:rsidP="00766B38">
            <w:pPr>
              <w:spacing w:after="0" w:line="240" w:lineRule="auto"/>
              <w:jc w:val="right"/>
              <w:rPr>
                <w:color w:val="000000"/>
              </w:rPr>
            </w:pPr>
            <w:r w:rsidRPr="00766B38">
              <w:rPr>
                <w:color w:val="000000"/>
              </w:rPr>
              <w:t>194</w:t>
            </w:r>
          </w:p>
        </w:tc>
      </w:tr>
      <w:tr w:rsidR="00031031" w:rsidRPr="004113A4" w:rsidTr="00766B38">
        <w:trPr>
          <w:trHeight w:val="300"/>
        </w:trPr>
        <w:tc>
          <w:tcPr>
            <w:tcW w:w="6215" w:type="dxa"/>
            <w:tcBorders>
              <w:top w:val="nil"/>
              <w:left w:val="nil"/>
              <w:bottom w:val="nil"/>
              <w:right w:val="nil"/>
            </w:tcBorders>
            <w:noWrap/>
            <w:vAlign w:val="bottom"/>
          </w:tcPr>
          <w:p w:rsidR="00031031" w:rsidRPr="00766B38" w:rsidRDefault="00031031" w:rsidP="00766B38">
            <w:pPr>
              <w:spacing w:after="0" w:line="240" w:lineRule="auto"/>
              <w:rPr>
                <w:b/>
                <w:bCs/>
                <w:color w:val="000000"/>
              </w:rPr>
            </w:pPr>
            <w:r w:rsidRPr="00766B38">
              <w:rPr>
                <w:b/>
                <w:bCs/>
                <w:color w:val="000000"/>
              </w:rPr>
              <w:t>Private asset</w:t>
            </w:r>
            <w:r>
              <w:rPr>
                <w:b/>
                <w:bCs/>
                <w:color w:val="000000"/>
              </w:rPr>
              <w:t>–</w:t>
            </w:r>
            <w:r w:rsidRPr="00766B38">
              <w:rPr>
                <w:b/>
                <w:bCs/>
                <w:color w:val="000000"/>
              </w:rPr>
              <w:t>based reallocations</w:t>
            </w:r>
          </w:p>
        </w:tc>
        <w:tc>
          <w:tcPr>
            <w:tcW w:w="845" w:type="dxa"/>
            <w:tcBorders>
              <w:top w:val="nil"/>
              <w:left w:val="nil"/>
              <w:bottom w:val="nil"/>
              <w:right w:val="nil"/>
            </w:tcBorders>
            <w:noWrap/>
            <w:vAlign w:val="bottom"/>
          </w:tcPr>
          <w:p w:rsidR="00031031" w:rsidRPr="00766B38" w:rsidRDefault="00031031" w:rsidP="00766B38">
            <w:pPr>
              <w:spacing w:after="0" w:line="240" w:lineRule="auto"/>
              <w:jc w:val="right"/>
              <w:rPr>
                <w:b/>
                <w:bCs/>
                <w:color w:val="000000"/>
              </w:rPr>
            </w:pPr>
            <w:r w:rsidRPr="00766B38">
              <w:rPr>
                <w:b/>
                <w:bCs/>
                <w:color w:val="000000"/>
              </w:rPr>
              <w:t>2,057</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766B38">
              <w:rPr>
                <w:color w:val="000000"/>
              </w:rPr>
              <w:t>Private asset income</w:t>
            </w:r>
          </w:p>
        </w:tc>
        <w:tc>
          <w:tcPr>
            <w:tcW w:w="845" w:type="dxa"/>
            <w:tcBorders>
              <w:top w:val="nil"/>
              <w:left w:val="nil"/>
              <w:bottom w:val="nil"/>
              <w:right w:val="nil"/>
            </w:tcBorders>
            <w:noWrap/>
            <w:vAlign w:val="bottom"/>
          </w:tcPr>
          <w:p w:rsidR="00031031" w:rsidRPr="00766B38" w:rsidRDefault="00031031" w:rsidP="00766B38">
            <w:pPr>
              <w:spacing w:after="0" w:line="240" w:lineRule="auto"/>
              <w:jc w:val="right"/>
              <w:rPr>
                <w:color w:val="000000"/>
              </w:rPr>
            </w:pPr>
            <w:r w:rsidRPr="00766B38">
              <w:rPr>
                <w:color w:val="000000"/>
              </w:rPr>
              <w:t>2,833</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766B38">
              <w:rPr>
                <w:color w:val="000000"/>
              </w:rPr>
              <w:t>Private capital income</w:t>
            </w:r>
          </w:p>
        </w:tc>
        <w:tc>
          <w:tcPr>
            <w:tcW w:w="845" w:type="dxa"/>
            <w:tcBorders>
              <w:top w:val="nil"/>
              <w:left w:val="nil"/>
              <w:bottom w:val="nil"/>
              <w:right w:val="nil"/>
            </w:tcBorders>
            <w:noWrap/>
            <w:vAlign w:val="bottom"/>
          </w:tcPr>
          <w:p w:rsidR="00031031" w:rsidRPr="00766B38" w:rsidRDefault="00031031" w:rsidP="00766B38">
            <w:pPr>
              <w:spacing w:after="0" w:line="240" w:lineRule="auto"/>
              <w:jc w:val="right"/>
              <w:rPr>
                <w:color w:val="000000"/>
              </w:rPr>
            </w:pPr>
            <w:r w:rsidRPr="00766B38">
              <w:rPr>
                <w:color w:val="000000"/>
              </w:rPr>
              <w:t>3,140</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766B38">
              <w:rPr>
                <w:color w:val="000000"/>
              </w:rPr>
              <w:t>Private property income</w:t>
            </w:r>
          </w:p>
        </w:tc>
        <w:tc>
          <w:tcPr>
            <w:tcW w:w="845" w:type="dxa"/>
            <w:tcBorders>
              <w:top w:val="nil"/>
              <w:left w:val="nil"/>
              <w:bottom w:val="nil"/>
              <w:right w:val="nil"/>
            </w:tcBorders>
            <w:noWrap/>
            <w:vAlign w:val="bottom"/>
          </w:tcPr>
          <w:p w:rsidR="00031031" w:rsidRPr="00766B38" w:rsidRDefault="00031031" w:rsidP="00766B38">
            <w:pPr>
              <w:spacing w:after="0" w:line="240" w:lineRule="auto"/>
              <w:jc w:val="right"/>
              <w:rPr>
                <w:color w:val="000000"/>
              </w:rPr>
            </w:pPr>
            <w:r>
              <w:rPr>
                <w:color w:val="000000"/>
              </w:rPr>
              <w:t>–</w:t>
            </w:r>
            <w:r w:rsidRPr="00766B38">
              <w:rPr>
                <w:color w:val="000000"/>
              </w:rPr>
              <w:t>308</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766B38">
              <w:rPr>
                <w:color w:val="000000"/>
              </w:rPr>
              <w:t>Private property income inflows</w:t>
            </w:r>
          </w:p>
        </w:tc>
        <w:tc>
          <w:tcPr>
            <w:tcW w:w="845" w:type="dxa"/>
            <w:tcBorders>
              <w:top w:val="nil"/>
              <w:left w:val="nil"/>
              <w:bottom w:val="nil"/>
              <w:right w:val="nil"/>
            </w:tcBorders>
            <w:noWrap/>
            <w:vAlign w:val="bottom"/>
          </w:tcPr>
          <w:p w:rsidR="00031031" w:rsidRPr="00766B38" w:rsidRDefault="00031031" w:rsidP="00766B38">
            <w:pPr>
              <w:spacing w:after="0" w:line="240" w:lineRule="auto"/>
              <w:jc w:val="right"/>
              <w:rPr>
                <w:color w:val="000000"/>
              </w:rPr>
            </w:pPr>
            <w:r w:rsidRPr="00766B38">
              <w:rPr>
                <w:color w:val="000000"/>
              </w:rPr>
              <w:t>2,388</w:t>
            </w:r>
          </w:p>
        </w:tc>
      </w:tr>
      <w:tr w:rsidR="00031031" w:rsidRPr="004113A4" w:rsidTr="00766B38">
        <w:trPr>
          <w:trHeight w:val="300"/>
        </w:trPr>
        <w:tc>
          <w:tcPr>
            <w:tcW w:w="6215"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766B38">
              <w:rPr>
                <w:color w:val="000000"/>
              </w:rPr>
              <w:t>Private property income outflows</w:t>
            </w:r>
          </w:p>
        </w:tc>
        <w:tc>
          <w:tcPr>
            <w:tcW w:w="845" w:type="dxa"/>
            <w:tcBorders>
              <w:top w:val="nil"/>
              <w:left w:val="nil"/>
              <w:bottom w:val="nil"/>
              <w:right w:val="nil"/>
            </w:tcBorders>
            <w:noWrap/>
            <w:vAlign w:val="bottom"/>
          </w:tcPr>
          <w:p w:rsidR="00031031" w:rsidRPr="00766B38" w:rsidRDefault="00031031" w:rsidP="00766B38">
            <w:pPr>
              <w:spacing w:after="0" w:line="240" w:lineRule="auto"/>
              <w:jc w:val="right"/>
              <w:rPr>
                <w:color w:val="000000"/>
              </w:rPr>
            </w:pPr>
            <w:r w:rsidRPr="00766B38">
              <w:rPr>
                <w:color w:val="000000"/>
              </w:rPr>
              <w:t>2,696</w:t>
            </w:r>
          </w:p>
        </w:tc>
      </w:tr>
      <w:tr w:rsidR="00031031" w:rsidRPr="004113A4" w:rsidTr="00766B38">
        <w:trPr>
          <w:trHeight w:val="300"/>
        </w:trPr>
        <w:tc>
          <w:tcPr>
            <w:tcW w:w="6215" w:type="dxa"/>
            <w:tcBorders>
              <w:top w:val="nil"/>
              <w:left w:val="nil"/>
              <w:bottom w:val="single" w:sz="4" w:space="0" w:color="auto"/>
              <w:right w:val="nil"/>
            </w:tcBorders>
            <w:noWrap/>
            <w:vAlign w:val="bottom"/>
          </w:tcPr>
          <w:p w:rsidR="00031031" w:rsidRDefault="00031031" w:rsidP="000E7694">
            <w:pPr>
              <w:spacing w:after="0" w:line="240" w:lineRule="auto"/>
              <w:ind w:firstLineChars="100" w:firstLine="220"/>
              <w:rPr>
                <w:color w:val="000000"/>
              </w:rPr>
            </w:pPr>
            <w:r w:rsidRPr="00766B38">
              <w:rPr>
                <w:color w:val="000000"/>
              </w:rPr>
              <w:t>Private saving</w:t>
            </w:r>
          </w:p>
        </w:tc>
        <w:tc>
          <w:tcPr>
            <w:tcW w:w="845" w:type="dxa"/>
            <w:tcBorders>
              <w:top w:val="nil"/>
              <w:left w:val="nil"/>
              <w:bottom w:val="single" w:sz="4" w:space="0" w:color="auto"/>
              <w:right w:val="nil"/>
            </w:tcBorders>
            <w:noWrap/>
            <w:vAlign w:val="bottom"/>
          </w:tcPr>
          <w:p w:rsidR="00031031" w:rsidRPr="00766B38" w:rsidRDefault="00031031" w:rsidP="00766B38">
            <w:pPr>
              <w:spacing w:after="0" w:line="240" w:lineRule="auto"/>
              <w:jc w:val="right"/>
              <w:rPr>
                <w:color w:val="000000"/>
              </w:rPr>
            </w:pPr>
            <w:r w:rsidRPr="00766B38">
              <w:rPr>
                <w:color w:val="000000"/>
              </w:rPr>
              <w:t>775</w:t>
            </w:r>
          </w:p>
        </w:tc>
      </w:tr>
      <w:tr w:rsidR="00031031" w:rsidRPr="004113A4" w:rsidTr="00766B38">
        <w:trPr>
          <w:trHeight w:val="585"/>
        </w:trPr>
        <w:tc>
          <w:tcPr>
            <w:tcW w:w="7060" w:type="dxa"/>
            <w:gridSpan w:val="2"/>
            <w:tcBorders>
              <w:top w:val="single" w:sz="4" w:space="0" w:color="auto"/>
              <w:left w:val="nil"/>
              <w:bottom w:val="nil"/>
              <w:right w:val="nil"/>
            </w:tcBorders>
            <w:vAlign w:val="bottom"/>
          </w:tcPr>
          <w:p w:rsidR="00031031" w:rsidRPr="00766B38" w:rsidRDefault="00031031" w:rsidP="00766B38">
            <w:pPr>
              <w:spacing w:after="0" w:line="240" w:lineRule="auto"/>
              <w:rPr>
                <w:color w:val="000000"/>
              </w:rPr>
            </w:pPr>
            <w:r w:rsidRPr="00766B38">
              <w:rPr>
                <w:color w:val="000000"/>
              </w:rPr>
              <w:t>Source:</w:t>
            </w:r>
            <w:r>
              <w:rPr>
                <w:color w:val="000000"/>
              </w:rPr>
              <w:t xml:space="preserve"> </w:t>
            </w:r>
            <w:r w:rsidRPr="00766B38">
              <w:rPr>
                <w:color w:val="000000"/>
              </w:rPr>
              <w:t>Estimates by Ivan Mejia Guevara from www.ntaccounts.org</w:t>
            </w:r>
            <w:r>
              <w:rPr>
                <w:color w:val="000000"/>
              </w:rPr>
              <w:t>,</w:t>
            </w:r>
            <w:r w:rsidRPr="00766B38">
              <w:rPr>
                <w:color w:val="000000"/>
              </w:rPr>
              <w:t xml:space="preserve"> accessed </w:t>
            </w:r>
            <w:r>
              <w:rPr>
                <w:color w:val="000000"/>
              </w:rPr>
              <w:t xml:space="preserve">27 </w:t>
            </w:r>
            <w:r w:rsidRPr="00766B38">
              <w:rPr>
                <w:color w:val="000000"/>
              </w:rPr>
              <w:t>January 2013.</w:t>
            </w:r>
          </w:p>
        </w:tc>
      </w:tr>
      <w:tr w:rsidR="00031031" w:rsidRPr="004113A4" w:rsidTr="00766B38">
        <w:trPr>
          <w:trHeight w:val="300"/>
        </w:trPr>
        <w:tc>
          <w:tcPr>
            <w:tcW w:w="7060" w:type="dxa"/>
            <w:gridSpan w:val="2"/>
            <w:tcBorders>
              <w:top w:val="nil"/>
              <w:left w:val="nil"/>
              <w:bottom w:val="nil"/>
              <w:right w:val="nil"/>
            </w:tcBorders>
            <w:noWrap/>
            <w:vAlign w:val="bottom"/>
          </w:tcPr>
          <w:p w:rsidR="00031031" w:rsidRPr="00766B38" w:rsidRDefault="00031031" w:rsidP="00766B38">
            <w:pPr>
              <w:spacing w:after="0" w:line="240" w:lineRule="auto"/>
              <w:rPr>
                <w:color w:val="000000"/>
              </w:rPr>
            </w:pPr>
            <w:r w:rsidRPr="00766B38">
              <w:rPr>
                <w:color w:val="000000"/>
              </w:rPr>
              <w:t>Note:</w:t>
            </w:r>
            <w:r>
              <w:rPr>
                <w:color w:val="000000"/>
              </w:rPr>
              <w:t xml:space="preserve"> </w:t>
            </w:r>
            <w:r w:rsidRPr="00766B38">
              <w:rPr>
                <w:color w:val="000000"/>
              </w:rPr>
              <w:t xml:space="preserve">Values in shaded area are not based on SNA. </w:t>
            </w:r>
          </w:p>
        </w:tc>
      </w:tr>
    </w:tbl>
    <w:p w:rsidR="00031031" w:rsidRDefault="00031031" w:rsidP="005B191C">
      <w:pPr>
        <w:pStyle w:val="Heading1"/>
      </w:pPr>
      <w:r>
        <w:t>4.2 Relationship between NTA and SNA</w:t>
      </w:r>
    </w:p>
    <w:p w:rsidR="00031031" w:rsidRPr="000623AE" w:rsidRDefault="00031031" w:rsidP="00002918">
      <w:r w:rsidRPr="000623AE">
        <w:t xml:space="preserve">The NT </w:t>
      </w:r>
      <w:r>
        <w:t>f</w:t>
      </w:r>
      <w:r w:rsidRPr="000623AE">
        <w:t xml:space="preserve">low </w:t>
      </w:r>
      <w:r>
        <w:t>a</w:t>
      </w:r>
      <w:r w:rsidRPr="000623AE">
        <w:t>ccount</w:t>
      </w:r>
      <w:r>
        <w:t>s</w:t>
      </w:r>
      <w:r w:rsidRPr="000623AE">
        <w:t xml:space="preserve"> </w:t>
      </w:r>
      <w:r>
        <w:t>are</w:t>
      </w:r>
      <w:r w:rsidRPr="000623AE">
        <w:t xml:space="preserve"> </w:t>
      </w:r>
      <w:r>
        <w:t xml:space="preserve">based on </w:t>
      </w:r>
      <w:r w:rsidRPr="000623AE">
        <w:t>the identity</w:t>
      </w:r>
      <w:r>
        <w:t>, equation 2.1 in chapter 2, which emphasizes intergenerational flows. An alternative version that is more closely related to SNA is:</w:t>
      </w:r>
    </w:p>
    <w:p w:rsidR="00031031" w:rsidRDefault="00031031" w:rsidP="00002918">
      <w:pPr>
        <w:pStyle w:val="MTDisplayEquation0"/>
      </w:pPr>
      <w:r>
        <w:tab/>
      </w:r>
      <w:r w:rsidRPr="000D5314">
        <w:rPr>
          <w:position w:val="-10"/>
        </w:rPr>
        <w:object w:dxaOrig="4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4pt" o:ole="">
            <v:imagedata r:id="rId7" o:title=""/>
          </v:shape>
          <o:OLEObject Type="Embed" ProgID="Equation.DSMT4" ShapeID="_x0000_i1025" DrawAspect="Content" ObjectID="_1447227350" r:id="rId8"/>
        </w:object>
      </w:r>
      <w:r>
        <w:tab/>
      </w:r>
      <w:r w:rsidR="00D00BD1">
        <w:fldChar w:fldCharType="begin"/>
      </w:r>
      <w:r>
        <w:instrText xml:space="preserve"> MACROBUTTON MTPlaceRef \* MERGEFORMAT </w:instrText>
      </w:r>
      <w:r w:rsidR="00D00BD1">
        <w:fldChar w:fldCharType="begin"/>
      </w:r>
      <w:r>
        <w:instrText xml:space="preserve"> SEQ MTEqn \h \* MERGEFORMAT </w:instrText>
      </w:r>
      <w:r w:rsidR="00D00BD1">
        <w:fldChar w:fldCharType="end"/>
      </w:r>
      <w:bookmarkStart w:id="0" w:name="ZEqnNum672659"/>
      <w:r>
        <w:instrText>(4.</w:instrText>
      </w:r>
      <w:fldSimple w:instr=" SEQ MTEqn \c \* Arabic \* MERGEFORMAT ">
        <w:r>
          <w:rPr>
            <w:noProof/>
          </w:rPr>
          <w:instrText>1</w:instrText>
        </w:r>
      </w:fldSimple>
      <w:r>
        <w:instrText>)</w:instrText>
      </w:r>
      <w:bookmarkEnd w:id="0"/>
      <w:r w:rsidR="00D00BD1">
        <w:fldChar w:fldCharType="end"/>
      </w:r>
    </w:p>
    <w:p w:rsidR="00031031" w:rsidRDefault="00031031" w:rsidP="00002918">
      <w:r>
        <w:t xml:space="preserve">The left-hand side is the disposable income of age group </w:t>
      </w:r>
      <w:r w:rsidRPr="00723202">
        <w:rPr>
          <w:i/>
        </w:rPr>
        <w:t>x</w:t>
      </w:r>
      <w:r>
        <w:rPr>
          <w:i/>
        </w:rPr>
        <w:t xml:space="preserve">. </w:t>
      </w:r>
      <w:r>
        <w:t xml:space="preserve">The first three terms, labour income, capital income and property income are very similar to primary income, the income received by persons age </w:t>
      </w:r>
      <w:r w:rsidRPr="006C3DA4">
        <w:rPr>
          <w:i/>
        </w:rPr>
        <w:t>x</w:t>
      </w:r>
      <w:r>
        <w:t xml:space="preserve"> because of their involvement in producing goods and services. The final term on the left-hand side is net transfers, </w:t>
      </w:r>
      <w:r w:rsidRPr="001F0CA0">
        <w:rPr>
          <w:position w:val="-10"/>
        </w:rPr>
        <w:object w:dxaOrig="480" w:dyaOrig="320">
          <v:shape id="_x0000_i1026" type="#_x0000_t75" style="width:24pt;height:16.8pt" o:ole="">
            <v:imagedata r:id="rId9" o:title=""/>
          </v:shape>
          <o:OLEObject Type="Embed" ProgID="Equation.DSMT4" ShapeID="_x0000_i1026" DrawAspect="Content" ObjectID="_1447227351" r:id="rId10"/>
        </w:object>
      </w:r>
      <w:r>
        <w:t xml:space="preserve">, equal to transfer inflows less transfer outflows. </w:t>
      </w:r>
    </w:p>
    <w:p w:rsidR="00031031" w:rsidRDefault="00031031" w:rsidP="00002918">
      <w:r>
        <w:t xml:space="preserve">Combining all of these left-hand side flows quantifies the resources that members of each age group have at their disposal and can use in two ways. The resources can be consumed in the current period or they can be saved. </w:t>
      </w:r>
    </w:p>
    <w:p w:rsidR="00031031" w:rsidRDefault="00031031" w:rsidP="00002918">
      <w:r>
        <w:lastRenderedPageBreak/>
        <w:t xml:space="preserve">The aggregate NTA values for the economy are obtained by summing across age </w:t>
      </w:r>
      <w:r w:rsidRPr="006C3DA4">
        <w:rPr>
          <w:i/>
        </w:rPr>
        <w:t>x</w:t>
      </w:r>
      <w:r>
        <w:t xml:space="preserve">. In NTA, all flows to and from the government, firms, non-profit institutions and households are assigned to individuals. Hence, the aggregate NTA flows are similar to flows for the total economy as reported in the System of National Accounts. Representing the total for all residents of the nation using the variable without the age argument, x, gives us: </w:t>
      </w:r>
    </w:p>
    <w:p w:rsidR="00031031" w:rsidRDefault="00031031" w:rsidP="00002918">
      <w:pPr>
        <w:pStyle w:val="MTDisplayEquation0"/>
      </w:pPr>
      <w:r>
        <w:tab/>
      </w:r>
      <w:r w:rsidRPr="003157BE">
        <w:rPr>
          <w:position w:val="-6"/>
        </w:rPr>
        <w:object w:dxaOrig="2360" w:dyaOrig="320">
          <v:shape id="_x0000_i1027" type="#_x0000_t75" style="width:116.8pt;height:16.8pt" o:ole="">
            <v:imagedata r:id="rId11" o:title=""/>
          </v:shape>
          <o:OLEObject Type="Embed" ProgID="Equation.DSMT4" ShapeID="_x0000_i1027" DrawAspect="Content" ObjectID="_1447227352" r:id="rId12"/>
        </w:object>
      </w:r>
      <w:r>
        <w:tab/>
      </w:r>
      <w:r w:rsidR="00D00BD1">
        <w:fldChar w:fldCharType="begin"/>
      </w:r>
      <w:r>
        <w:instrText xml:space="preserve"> MACROBUTTON MTPlaceRef \* MERGEFORMAT </w:instrText>
      </w:r>
      <w:r w:rsidR="00D00BD1">
        <w:fldChar w:fldCharType="begin"/>
      </w:r>
      <w:r>
        <w:instrText xml:space="preserve"> SEQ MTEqn \h \* MERGEFORMAT </w:instrText>
      </w:r>
      <w:r w:rsidR="00D00BD1">
        <w:fldChar w:fldCharType="end"/>
      </w:r>
      <w:r>
        <w:instrText>(4.</w:instrText>
      </w:r>
      <w:fldSimple w:instr=" SEQ MTEqn \c \* Arabic \* MERGEFORMAT ">
        <w:r>
          <w:rPr>
            <w:noProof/>
          </w:rPr>
          <w:instrText>2</w:instrText>
        </w:r>
      </w:fldSimple>
      <w:r>
        <w:instrText>)</w:instrText>
      </w:r>
      <w:r w:rsidR="00D00BD1">
        <w:fldChar w:fldCharType="end"/>
      </w:r>
    </w:p>
    <w:p w:rsidR="00031031" w:rsidRDefault="00031031" w:rsidP="00002918">
      <w:r>
        <w:t>These components as measured in NTA are very similar to flows measured in the System of National Accounts (SNA). Before proceeding with a detailed discussion of methods for constructing NTA aggregate flows, however, it is important to understand basic differences and similarities between NTA and SNA.</w:t>
      </w:r>
    </w:p>
    <w:p w:rsidR="00031031" w:rsidRDefault="00031031" w:rsidP="005B191C">
      <w:r>
        <w:t xml:space="preserve">NTA and SNA both provide comprehensive accounts of how income is generated and used by resident units. In SNA, the total economy for which flows are documented consists of five kinds of resident units, households, financial and non-financial firms, government and non-profit institutions serving households (NPISHs), plus flows to non-resident units called the rest of the world. </w:t>
      </w:r>
    </w:p>
    <w:p w:rsidR="00031031" w:rsidRDefault="00031031" w:rsidP="005B191C">
      <w:r>
        <w:t xml:space="preserve">In NTA, the resident units consist of age groups with all flows classified as inflows to or outflows from an age group or, aggregating across all age groups, the resident population. </w:t>
      </w:r>
    </w:p>
    <w:p w:rsidR="00031031" w:rsidRDefault="00031031" w:rsidP="005B191C">
      <w:r>
        <w:t xml:space="preserve">An important feature of NTA is that the flows are not limited to flows to and from households. Firms, NPISHs, and governments are treated as agents of the population. The income of a firm is treated as the income of individuals (or age groups) who own that firm. Dividends paid by firms are treated as dividends paid by the individuals who own that firm. Public transfers are treated as transfers from taxpaying age groups to the age groups in which beneficiaries are concentrated, often children and the elderly. </w:t>
      </w:r>
    </w:p>
    <w:p w:rsidR="00031031" w:rsidRDefault="00031031" w:rsidP="005B191C">
      <w:r>
        <w:t xml:space="preserve">Important economic flows in NTA have no exact counterpart in SNA because the accounts differ in their purpose. The goal of NTA is to provide insights about how the economy operates to satisfy generational objectives. From this perspective, labour income and capital income are fundamental. Labour income is closely related to age, the rise and decline of productivity over the life cycle. Saving and the accumulation of capital provide one of the key economic mechanisms for dealing with the mismatch between labour income and consumption. Labour income and asset income are not defined in SNA, however, but SNA data are used to construct estimates of aggregate labour income and asset income that are key in NTA. </w:t>
      </w:r>
    </w:p>
    <w:p w:rsidR="00031031" w:rsidRDefault="00031031" w:rsidP="005B191C">
      <w:r>
        <w:t xml:space="preserve">A central feature of generational economics is that all age reallocations are achieved by two exhaustive, mutually exclusive flows—transfers and asset-based reallocations. Transfers are broadly defined in NTA to include all flows between individuals that do not involve explicit exchange, including all final goods and services produced by the government, cash payments by the government, all taxes and social insurance contributions to the government that fund these transfers, private transfers between households, and transfers between individuals living in households. Estimates of some of these flows can be based directly on SNA, some require modification and others, such as intra-household transfers, have no SNA counterpart. </w:t>
      </w:r>
    </w:p>
    <w:p w:rsidR="00031031" w:rsidRDefault="00031031" w:rsidP="005B191C">
      <w:r>
        <w:lastRenderedPageBreak/>
        <w:t xml:space="preserve">Another important feature of NTA is that public and private age reallocations (transfers and asset-based flows) are distinguished. Public flows are inflows and outflows to age groups that are mediated by the public sector. SNA provides extensive information about flows to and from general government that can be used to construct public NTA flows. For example, taxes received by the government are outflows from age groups while benefits paid by the government are inflows to age groups in NTA. SNA provides information about asset income and saving for both the public and private sectors that is very useful for NTA. Little information about private transfers is available from SNA, however, and other methods must be used to generate these data in NTA. </w:t>
      </w:r>
    </w:p>
    <w:p w:rsidR="00031031" w:rsidRDefault="00031031" w:rsidP="00B95759">
      <w:r>
        <w:t xml:space="preserve">A potential source of confusion is that the terminology used in NTA and SNA are different in some respects. SNA flows are categorized as </w:t>
      </w:r>
      <w:r w:rsidRPr="005B191C">
        <w:rPr>
          <w:i/>
        </w:rPr>
        <w:t>resources</w:t>
      </w:r>
      <w:r>
        <w:t xml:space="preserve"> or </w:t>
      </w:r>
      <w:r>
        <w:rPr>
          <w:i/>
        </w:rPr>
        <w:t xml:space="preserve">uses. </w:t>
      </w:r>
      <w:r>
        <w:t xml:space="preserve">Resources are also referred to as receipts or, in NTA, as inflows. Income is an example of a resource. </w:t>
      </w:r>
      <w:r>
        <w:rPr>
          <w:i/>
        </w:rPr>
        <w:t xml:space="preserve">Uses </w:t>
      </w:r>
      <w:r>
        <w:t xml:space="preserve">is also referred to as disbursements or, in NTA, as outflows. Consumption and saving are examples of </w:t>
      </w:r>
      <w:r>
        <w:rPr>
          <w:i/>
        </w:rPr>
        <w:t xml:space="preserve">uses. </w:t>
      </w:r>
    </w:p>
    <w:p w:rsidR="00031031" w:rsidRDefault="00031031" w:rsidP="00390C95">
      <w:pPr>
        <w:pStyle w:val="Heading1"/>
      </w:pPr>
      <w:r>
        <w:t>4.3 Calculating macro controls for the NTA flow account</w:t>
      </w:r>
    </w:p>
    <w:p w:rsidR="00031031" w:rsidRDefault="00031031" w:rsidP="00E5483B">
      <w:r>
        <w:t xml:space="preserve">The NTA flow account draws only on current accounts in SNA, which document how income generated in the current accounting period are allocated and used. Four current accounts in SNA provide basic information about current resources and uses: the generation of income account, the allocation of primary income account, the secondary distribution of income account, and the wse of disposable income account. The allocation of primary income account provides the SNA data required to estimate three components of NTA: labour income, asset income, and property income. The secondary distribution of income account provides information useful for estimating NTA transfers. And the use of disposable income account provides data need to calculate consumption and saving in NTA. </w:t>
      </w:r>
    </w:p>
    <w:p w:rsidR="00031031" w:rsidRDefault="00031031" w:rsidP="00E5483B">
      <w:r>
        <w:t xml:space="preserve">Figure 4.1. Schematic of flow accounts in the System of National Accounts </w:t>
      </w:r>
    </w:p>
    <w:p w:rsidR="00031031" w:rsidRDefault="00E502E9" w:rsidP="001931D2">
      <w:pPr>
        <w:jc w:val="right"/>
        <w:rPr>
          <w:noProof/>
        </w:rPr>
      </w:pPr>
      <w:r>
        <w:rPr>
          <w:noProof/>
        </w:rPr>
        <w:lastRenderedPageBreak/>
        <w:pict>
          <v:shape id="Picture 2" o:spid="_x0000_i1028" type="#_x0000_t75" style="width:520.8pt;height:284pt;visibility:visible">
            <v:imagedata r:id="rId13" o:title=""/>
          </v:shape>
        </w:pict>
      </w:r>
    </w:p>
    <w:p w:rsidR="00031031" w:rsidRDefault="00031031" w:rsidP="006C3DA4">
      <w:pPr>
        <w:jc w:val="center"/>
      </w:pPr>
    </w:p>
    <w:p w:rsidR="00031031" w:rsidRDefault="00031031" w:rsidP="008C4D50">
      <w:pPr>
        <w:pStyle w:val="Heading2"/>
      </w:pPr>
    </w:p>
    <w:p w:rsidR="00031031" w:rsidRDefault="00031031" w:rsidP="00693D6B">
      <w:r>
        <w:t>Note: Accounts are presented on a gross basis. Subtract “consumption of fixed capital”, found in the capital accounts, from all gross amounts to get the accounts presented net of depreciation.</w:t>
      </w:r>
    </w:p>
    <w:p w:rsidR="00031031" w:rsidRDefault="00031031" w:rsidP="008C4D50">
      <w:pPr>
        <w:pStyle w:val="Heading2"/>
      </w:pPr>
      <w:r>
        <w:t>4.3.1 Calculating primary income</w:t>
      </w:r>
    </w:p>
    <w:p w:rsidR="00031031" w:rsidRDefault="00031031" w:rsidP="008C4D50">
      <w:r>
        <w:t xml:space="preserve">In NTA, primary income consists of labour income, capital income and property income. In SNA, primary income consists of compensation of employees, operating surplus, mixed income, property income and taxes on products and production less subsidies. </w:t>
      </w:r>
    </w:p>
    <w:p w:rsidR="00031031" w:rsidRDefault="00031031" w:rsidP="008C4D50">
      <w:r>
        <w:t xml:space="preserve">Two adjustments are required to convert the SNA components of primary income into the NTA components of primary income. </w:t>
      </w:r>
    </w:p>
    <w:p w:rsidR="00031031" w:rsidRDefault="00031031" w:rsidP="00F915EB">
      <w:pPr>
        <w:pStyle w:val="ListParagraph"/>
        <w:numPr>
          <w:ilvl w:val="0"/>
          <w:numId w:val="12"/>
          <w:numberingChange w:id="1" w:author="Unknown" w:date="2013-11-14T10:11:00Z" w:original=""/>
        </w:numPr>
      </w:pPr>
      <w:r w:rsidRPr="006C3DA4">
        <w:t>Mixed income</w:t>
      </w:r>
      <w:r w:rsidRPr="00693D6B">
        <w:t>.</w:t>
      </w:r>
      <w:r>
        <w:t xml:space="preserve"> Mixed income in SNA is income from household enterprises, which do not distinguish the returns to capital from the returns to labour. In NTA two thirds of gross mixed income is allocated to labour income and one third to gross capital income. This </w:t>
      </w:r>
      <w:r>
        <w:rPr>
          <w:rFonts w:eastAsia="SimSun"/>
          <w:color w:val="000000"/>
          <w:lang w:eastAsia="ko-KR"/>
        </w:rPr>
        <w:t xml:space="preserve">simple approach is consistent with </w:t>
      </w:r>
      <w:r w:rsidRPr="001D643E">
        <w:t>the best</w:t>
      </w:r>
      <w:r w:rsidRPr="0073402F">
        <w:t xml:space="preserve"> available evidence on this issue</w:t>
      </w:r>
      <w:r>
        <w:t xml:space="preserve"> </w:t>
      </w:r>
      <w:r w:rsidR="00D00BD1">
        <w:fldChar w:fldCharType="begin"/>
      </w:r>
      <w:r>
        <w:instrText xml:space="preserve"> ADDIN EN.CITE &lt;EndNote&gt;&lt;Cite&gt;&lt;Author&gt;Lee&lt;/Author&gt;&lt;Year&gt;2008&lt;/Year&gt;&lt;RecNum&gt;868&lt;/RecNum&gt;&lt;DisplayText&gt;(Lee, Lee et al. 2008)&lt;/DisplayText&gt;&lt;record&gt;&lt;rec-number&gt;868&lt;/rec-number&gt;&lt;foreign-keys&gt;&lt;key app="EN" db-id="wp0ftvxai0evemetx2ixp2tmxap29wp5vv5p"&gt;868&lt;/key&gt;&lt;/foreign-keys&gt;&lt;ref-type name="Book Section"&gt;5&lt;/ref-type&gt;&lt;contributors&gt;&lt;authors&gt;&lt;author&gt;Lee, Ronald D.&lt;/author&gt;&lt;author&gt;Lee, Sand-Hyop&lt;/author&gt;&lt;author&gt;Mason, Andrew&lt;/author&gt;&lt;/authors&gt;&lt;secondary-authors&gt;&lt;author&gt;Alexia Prskawetz&lt;/author&gt;&lt;author&gt;David E. Bloom&lt;/author&gt;&lt;author&gt;Wolfgang Lutz&lt;/author&gt;&lt;/secondary-authors&gt;&lt;/contributors&gt;&lt;titles&gt;&lt;title&gt;Charting the Economic Lifecycle&lt;/title&gt;&lt;secondary-title&gt;Population Aging, Human Capital Accumulation, and Productivity Growth, a supplement to Population and Development Review  33&lt;/secondary-title&gt;&lt;/titles&gt;&lt;pages&gt;208-237&lt;/pages&gt;&lt;dates&gt;&lt;year&gt;2008&lt;/year&gt;&lt;pub-dates&gt;&lt;date&gt;July&lt;/date&gt;&lt;/pub-dates&gt;&lt;/dates&gt;&lt;pub-location&gt;New York&lt;/pub-location&gt;&lt;publisher&gt;Population Council&lt;/publisher&gt;&lt;urls&gt;&lt;/urls&gt;&lt;/record&gt;&lt;/Cite&gt;&lt;/EndNote&gt;</w:instrText>
      </w:r>
      <w:r w:rsidR="00D00BD1">
        <w:fldChar w:fldCharType="separate"/>
      </w:r>
      <w:r>
        <w:rPr>
          <w:noProof/>
        </w:rPr>
        <w:t>(</w:t>
      </w:r>
      <w:hyperlink w:anchor="_ENREF_3" w:tooltip="Lee, 2008 #868" w:history="1">
        <w:r>
          <w:rPr>
            <w:noProof/>
          </w:rPr>
          <w:t>Lee, Lee, et al., 2008</w:t>
        </w:r>
      </w:hyperlink>
      <w:r>
        <w:rPr>
          <w:noProof/>
        </w:rPr>
        <w:t>)</w:t>
      </w:r>
      <w:r w:rsidR="00D00BD1">
        <w:fldChar w:fldCharType="end"/>
      </w:r>
      <w:r w:rsidRPr="0073402F">
        <w:t>.</w:t>
      </w:r>
    </w:p>
    <w:p w:rsidR="00031031" w:rsidRDefault="00031031" w:rsidP="00F915EB">
      <w:pPr>
        <w:pStyle w:val="ListParagraph"/>
        <w:numPr>
          <w:ilvl w:val="0"/>
          <w:numId w:val="12"/>
          <w:numberingChange w:id="2" w:author="Unknown" w:date="2013-11-14T10:11:00Z" w:original=""/>
        </w:numPr>
      </w:pPr>
      <w:r w:rsidRPr="00F915EB">
        <w:rPr>
          <w:b/>
        </w:rPr>
        <w:t>Ta</w:t>
      </w:r>
      <w:r>
        <w:rPr>
          <w:b/>
        </w:rPr>
        <w:t>xes on products and production l</w:t>
      </w:r>
      <w:r w:rsidRPr="00F915EB">
        <w:rPr>
          <w:b/>
        </w:rPr>
        <w:t xml:space="preserve">ess </w:t>
      </w:r>
      <w:r>
        <w:rPr>
          <w:b/>
        </w:rPr>
        <w:t>s</w:t>
      </w:r>
      <w:r w:rsidRPr="00F915EB">
        <w:rPr>
          <w:b/>
        </w:rPr>
        <w:t>ubsidies.</w:t>
      </w:r>
      <w:r>
        <w:t xml:space="preserve"> In NTA, taxes on products and production less subsidies are divided into three components: taxes less subsidies on labour income, taxes less subsidies on capital income, and taxes less subsidies on consumption. Labour income and capital income in NTA are adjusted upward valuing labour and capital income before the assessment of taxes less subsidies on production. Consumption must be adjusted downward to exclude taxes </w:t>
      </w:r>
      <w:r>
        <w:lastRenderedPageBreak/>
        <w:t xml:space="preserve">less subsidies on products. Taxes on products and production less subsidies are included in outflows from age groups that, along with other taxes and revenues, fund public transfer outflows. </w:t>
      </w:r>
    </w:p>
    <w:p w:rsidR="00031031" w:rsidRDefault="00031031" w:rsidP="009325FC">
      <w:r>
        <w:rPr>
          <w:color w:val="000000"/>
        </w:rPr>
        <w:t xml:space="preserve">If the tax is assessed on </w:t>
      </w:r>
      <w:r w:rsidRPr="0045276F">
        <w:rPr>
          <w:color w:val="000000"/>
        </w:rPr>
        <w:t>goods and services when they are produced, delivered, sold or transferred</w:t>
      </w:r>
      <w:r>
        <w:rPr>
          <w:color w:val="000000"/>
        </w:rPr>
        <w:t>, these are classified in SNA as “</w:t>
      </w:r>
      <w:r w:rsidRPr="0045276F">
        <w:rPr>
          <w:color w:val="000000"/>
        </w:rPr>
        <w:t>taxes on products</w:t>
      </w:r>
      <w:r>
        <w:rPr>
          <w:color w:val="000000"/>
        </w:rPr>
        <w:t xml:space="preserve">” and NTA attributes these to consumption. An example is value added tax. In SNA taxes on products are included in final consumption expenditure, but in </w:t>
      </w:r>
      <w:r>
        <w:t>NTA taxes on products are not counted as consumption. Hence, taxes on products are subtracted from final consumption expenditure. Subsidies on products are treated like negative taxes—instead of subtracting them from final consumption expenditures, they are added.</w:t>
      </w:r>
    </w:p>
    <w:p w:rsidR="00031031" w:rsidRDefault="00031031" w:rsidP="009325FC">
      <w:r>
        <w:t xml:space="preserve">Taxes assessed on the employment of labour or the ownership or use of land, buildings or other assets used in production are classified with “other taxes on production”. NTA adds these taxes to labour income if they are assessed on the employment of labour, or to capital income, if they are assessed on the ownership or use of land, buildings or other assets used in production. “Other subsidies on production” are treated like negative taxes, reducing the amount to labour income or capital income. Whether the tax should be attributed to labour or capital is often not clear from SNA tables. More detailed information about “other taxes on production” may provide insights about how taxes should be allocated between capital and labour. Country teams will need to look for more data to understand the exact nature of “other taxes on production” and decide what is being taxed. In the absence of additional information, taxes on production less subsidies are allocated using the following simple rules: </w:t>
      </w:r>
    </w:p>
    <w:p w:rsidR="00031031" w:rsidRDefault="00031031" w:rsidP="009325FC">
      <w:r>
        <w:t>Share allocated to compensation of employees = compensation of employees/ (compensation of employees + gross operating surplus, corporations and NPISHs + gross mixed income),</w:t>
      </w:r>
    </w:p>
    <w:p w:rsidR="00031031" w:rsidRDefault="00031031" w:rsidP="00002D04">
      <w:r>
        <w:t>Share allocated to self-employed labour income = two thirds of gross mixed income/ (compensation of employees + gross operating surplus, corporations and NPISHs + gross mixed income),</w:t>
      </w:r>
    </w:p>
    <w:p w:rsidR="00031031" w:rsidRDefault="00031031" w:rsidP="00EE48BB">
      <w:r>
        <w:t>Capital share, corporations and NPISHS = (gross operating surplus, corporations and NPISHs)/(compensation of employees + gross operating surplus, corporations and NPISHs + gross mixed income).</w:t>
      </w:r>
    </w:p>
    <w:p w:rsidR="00031031" w:rsidRDefault="00031031" w:rsidP="00F72609">
      <w:r>
        <w:t>Capital share, mixed income = (1/3 gross mixed income)/(compensation of employees + gross operating surplus, corporations and NPISHs + gross mixed income).</w:t>
      </w:r>
    </w:p>
    <w:p w:rsidR="00031031" w:rsidRDefault="00031031" w:rsidP="009325FC">
      <w:r>
        <w:t>Table 4.4 summarizes this discussion, showing the detail on taxes on products and production less subsidies that country teams are likely to find in their SNA tables and the NTA attribution of these taxes.</w:t>
      </w:r>
    </w:p>
    <w:tbl>
      <w:tblPr>
        <w:tblW w:w="8500" w:type="dxa"/>
        <w:tblInd w:w="93" w:type="dxa"/>
        <w:tblLook w:val="00A0"/>
      </w:tblPr>
      <w:tblGrid>
        <w:gridCol w:w="3300"/>
        <w:gridCol w:w="5200"/>
      </w:tblGrid>
      <w:tr w:rsidR="00031031" w:rsidRPr="004113A4" w:rsidTr="0019470E">
        <w:trPr>
          <w:trHeight w:val="300"/>
        </w:trPr>
        <w:tc>
          <w:tcPr>
            <w:tcW w:w="8500" w:type="dxa"/>
            <w:gridSpan w:val="2"/>
            <w:tcBorders>
              <w:top w:val="nil"/>
              <w:left w:val="nil"/>
              <w:bottom w:val="single" w:sz="4" w:space="0" w:color="auto"/>
              <w:right w:val="nil"/>
            </w:tcBorders>
            <w:noWrap/>
            <w:vAlign w:val="center"/>
          </w:tcPr>
          <w:p w:rsidR="00031031" w:rsidRPr="0019470E" w:rsidRDefault="00031031" w:rsidP="0019470E">
            <w:pPr>
              <w:spacing w:after="0" w:line="240" w:lineRule="auto"/>
              <w:rPr>
                <w:color w:val="000000"/>
              </w:rPr>
            </w:pPr>
            <w:r w:rsidRPr="0019470E">
              <w:rPr>
                <w:color w:val="000000"/>
              </w:rPr>
              <w:t>Table 4.4</w:t>
            </w:r>
            <w:r>
              <w:rPr>
                <w:color w:val="000000"/>
              </w:rPr>
              <w:t xml:space="preserve">. </w:t>
            </w:r>
            <w:r w:rsidRPr="0019470E">
              <w:rPr>
                <w:color w:val="000000"/>
              </w:rPr>
              <w:t xml:space="preserve">Adjusting for </w:t>
            </w:r>
            <w:r>
              <w:rPr>
                <w:color w:val="000000"/>
              </w:rPr>
              <w:t>t</w:t>
            </w:r>
            <w:r w:rsidRPr="0019470E">
              <w:rPr>
                <w:color w:val="000000"/>
              </w:rPr>
              <w:t xml:space="preserve">axes on </w:t>
            </w:r>
            <w:r>
              <w:rPr>
                <w:color w:val="000000"/>
              </w:rPr>
              <w:t>p</w:t>
            </w:r>
            <w:r w:rsidRPr="0019470E">
              <w:rPr>
                <w:color w:val="000000"/>
              </w:rPr>
              <w:t xml:space="preserve">roducts and </w:t>
            </w:r>
            <w:r>
              <w:rPr>
                <w:color w:val="000000"/>
              </w:rPr>
              <w:t>p</w:t>
            </w:r>
            <w:r w:rsidRPr="0019470E">
              <w:rPr>
                <w:color w:val="000000"/>
              </w:rPr>
              <w:t xml:space="preserve">roduction </w:t>
            </w:r>
            <w:r>
              <w:rPr>
                <w:color w:val="000000"/>
              </w:rPr>
              <w:t>l</w:t>
            </w:r>
            <w:r w:rsidRPr="0019470E">
              <w:rPr>
                <w:color w:val="000000"/>
              </w:rPr>
              <w:t xml:space="preserve">ess </w:t>
            </w:r>
            <w:r>
              <w:rPr>
                <w:color w:val="000000"/>
              </w:rPr>
              <w:t>s</w:t>
            </w:r>
            <w:r w:rsidRPr="0019470E">
              <w:rPr>
                <w:color w:val="000000"/>
              </w:rPr>
              <w:t>ubsidies</w:t>
            </w:r>
          </w:p>
        </w:tc>
      </w:tr>
      <w:tr w:rsidR="00031031" w:rsidRPr="004113A4" w:rsidTr="0019470E">
        <w:trPr>
          <w:trHeight w:val="300"/>
        </w:trPr>
        <w:tc>
          <w:tcPr>
            <w:tcW w:w="3300" w:type="dxa"/>
            <w:tcBorders>
              <w:top w:val="nil"/>
              <w:left w:val="nil"/>
              <w:bottom w:val="single" w:sz="4" w:space="0" w:color="auto"/>
              <w:right w:val="nil"/>
            </w:tcBorders>
            <w:vAlign w:val="center"/>
          </w:tcPr>
          <w:p w:rsidR="00031031" w:rsidRPr="0019470E" w:rsidRDefault="00031031" w:rsidP="0019470E">
            <w:pPr>
              <w:spacing w:after="0" w:line="240" w:lineRule="auto"/>
              <w:rPr>
                <w:b/>
                <w:bCs/>
                <w:color w:val="000000"/>
              </w:rPr>
            </w:pPr>
            <w:r w:rsidRPr="0019470E">
              <w:rPr>
                <w:b/>
                <w:bCs/>
                <w:color w:val="000000"/>
              </w:rPr>
              <w:t>SNA flow</w:t>
            </w:r>
          </w:p>
        </w:tc>
        <w:tc>
          <w:tcPr>
            <w:tcW w:w="5200" w:type="dxa"/>
            <w:tcBorders>
              <w:top w:val="nil"/>
              <w:left w:val="nil"/>
              <w:bottom w:val="single" w:sz="4" w:space="0" w:color="auto"/>
              <w:right w:val="nil"/>
            </w:tcBorders>
            <w:vAlign w:val="center"/>
          </w:tcPr>
          <w:p w:rsidR="00031031" w:rsidRPr="0019470E" w:rsidRDefault="00031031" w:rsidP="0019470E">
            <w:pPr>
              <w:spacing w:after="0" w:line="240" w:lineRule="auto"/>
              <w:rPr>
                <w:b/>
                <w:bCs/>
                <w:color w:val="000000"/>
              </w:rPr>
            </w:pPr>
            <w:r w:rsidRPr="0019470E">
              <w:rPr>
                <w:b/>
                <w:bCs/>
                <w:color w:val="000000"/>
              </w:rPr>
              <w:t>NTA adjustment</w:t>
            </w:r>
          </w:p>
        </w:tc>
      </w:tr>
      <w:tr w:rsidR="00031031" w:rsidRPr="004113A4" w:rsidTr="0019470E">
        <w:trPr>
          <w:trHeight w:val="300"/>
        </w:trPr>
        <w:tc>
          <w:tcPr>
            <w:tcW w:w="3300" w:type="dxa"/>
            <w:tcBorders>
              <w:top w:val="nil"/>
              <w:left w:val="nil"/>
              <w:bottom w:val="nil"/>
              <w:right w:val="nil"/>
            </w:tcBorders>
            <w:vAlign w:val="center"/>
          </w:tcPr>
          <w:p w:rsidR="00031031" w:rsidRPr="0019470E" w:rsidRDefault="00031031" w:rsidP="0019470E">
            <w:pPr>
              <w:spacing w:after="0" w:line="240" w:lineRule="auto"/>
              <w:rPr>
                <w:color w:val="000000"/>
              </w:rPr>
            </w:pPr>
            <w:r w:rsidRPr="0019470E">
              <w:rPr>
                <w:color w:val="000000"/>
              </w:rPr>
              <w:t>Taxes on products</w:t>
            </w:r>
          </w:p>
        </w:tc>
        <w:tc>
          <w:tcPr>
            <w:tcW w:w="5200" w:type="dxa"/>
            <w:tcBorders>
              <w:top w:val="nil"/>
              <w:left w:val="nil"/>
              <w:bottom w:val="nil"/>
              <w:right w:val="nil"/>
            </w:tcBorders>
            <w:vAlign w:val="center"/>
          </w:tcPr>
          <w:p w:rsidR="00031031" w:rsidRPr="0019470E" w:rsidRDefault="00031031" w:rsidP="0019470E">
            <w:pPr>
              <w:spacing w:after="0" w:line="240" w:lineRule="auto"/>
              <w:rPr>
                <w:color w:val="000000"/>
              </w:rPr>
            </w:pPr>
            <w:r w:rsidRPr="0019470E">
              <w:rPr>
                <w:color w:val="000000"/>
              </w:rPr>
              <w:t xml:space="preserve">Tax on consumption; consumption reduced. </w:t>
            </w:r>
          </w:p>
        </w:tc>
      </w:tr>
      <w:tr w:rsidR="00031031" w:rsidRPr="004113A4" w:rsidTr="0019470E">
        <w:trPr>
          <w:trHeight w:val="300"/>
        </w:trPr>
        <w:tc>
          <w:tcPr>
            <w:tcW w:w="3300" w:type="dxa"/>
            <w:vMerge w:val="restart"/>
            <w:tcBorders>
              <w:top w:val="nil"/>
              <w:left w:val="nil"/>
              <w:bottom w:val="nil"/>
              <w:right w:val="nil"/>
            </w:tcBorders>
          </w:tcPr>
          <w:p w:rsidR="00031031" w:rsidRPr="0019470E" w:rsidRDefault="00031031" w:rsidP="0019470E">
            <w:pPr>
              <w:spacing w:after="0" w:line="240" w:lineRule="auto"/>
              <w:rPr>
                <w:color w:val="000000"/>
              </w:rPr>
            </w:pPr>
            <w:r w:rsidRPr="0019470E">
              <w:rPr>
                <w:color w:val="000000"/>
              </w:rPr>
              <w:t>Other taxes on production</w:t>
            </w:r>
          </w:p>
        </w:tc>
        <w:tc>
          <w:tcPr>
            <w:tcW w:w="5200" w:type="dxa"/>
            <w:vMerge w:val="restart"/>
            <w:tcBorders>
              <w:top w:val="nil"/>
              <w:left w:val="nil"/>
              <w:bottom w:val="nil"/>
              <w:right w:val="nil"/>
            </w:tcBorders>
            <w:vAlign w:val="center"/>
          </w:tcPr>
          <w:p w:rsidR="00031031" w:rsidRPr="0019470E" w:rsidRDefault="00031031" w:rsidP="0019470E">
            <w:pPr>
              <w:spacing w:after="0" w:line="240" w:lineRule="auto"/>
              <w:rPr>
                <w:color w:val="000000"/>
              </w:rPr>
            </w:pPr>
            <w:r w:rsidRPr="0019470E">
              <w:rPr>
                <w:color w:val="000000"/>
              </w:rPr>
              <w:t xml:space="preserve">Allocated to </w:t>
            </w:r>
            <w:r>
              <w:rPr>
                <w:color w:val="000000"/>
              </w:rPr>
              <w:t>labour</w:t>
            </w:r>
            <w:r w:rsidRPr="0019470E">
              <w:rPr>
                <w:color w:val="000000"/>
              </w:rPr>
              <w:t xml:space="preserve"> in proportion to share of </w:t>
            </w:r>
            <w:r>
              <w:rPr>
                <w:color w:val="000000"/>
              </w:rPr>
              <w:t>labour</w:t>
            </w:r>
            <w:r w:rsidRPr="0019470E">
              <w:rPr>
                <w:color w:val="000000"/>
              </w:rPr>
              <w:t xml:space="preserve"> income.</w:t>
            </w:r>
          </w:p>
        </w:tc>
      </w:tr>
      <w:tr w:rsidR="00031031" w:rsidRPr="004113A4" w:rsidTr="0019470E">
        <w:trPr>
          <w:trHeight w:val="300"/>
        </w:trPr>
        <w:tc>
          <w:tcPr>
            <w:tcW w:w="3300" w:type="dxa"/>
            <w:vMerge/>
            <w:tcBorders>
              <w:top w:val="nil"/>
              <w:left w:val="nil"/>
              <w:bottom w:val="nil"/>
              <w:right w:val="nil"/>
            </w:tcBorders>
            <w:vAlign w:val="center"/>
          </w:tcPr>
          <w:p w:rsidR="00031031" w:rsidRPr="0019470E" w:rsidRDefault="00031031" w:rsidP="0019470E">
            <w:pPr>
              <w:spacing w:after="0" w:line="240" w:lineRule="auto"/>
              <w:rPr>
                <w:color w:val="000000"/>
              </w:rPr>
            </w:pPr>
          </w:p>
        </w:tc>
        <w:tc>
          <w:tcPr>
            <w:tcW w:w="5200" w:type="dxa"/>
            <w:vMerge/>
            <w:tcBorders>
              <w:top w:val="nil"/>
              <w:left w:val="nil"/>
              <w:bottom w:val="nil"/>
              <w:right w:val="nil"/>
            </w:tcBorders>
            <w:vAlign w:val="center"/>
          </w:tcPr>
          <w:p w:rsidR="00031031" w:rsidRPr="0019470E" w:rsidRDefault="00031031" w:rsidP="0019470E">
            <w:pPr>
              <w:spacing w:after="0" w:line="240" w:lineRule="auto"/>
              <w:rPr>
                <w:color w:val="000000"/>
              </w:rPr>
            </w:pPr>
          </w:p>
        </w:tc>
      </w:tr>
      <w:tr w:rsidR="00031031" w:rsidRPr="004113A4" w:rsidTr="0019470E">
        <w:trPr>
          <w:trHeight w:val="300"/>
        </w:trPr>
        <w:tc>
          <w:tcPr>
            <w:tcW w:w="3300" w:type="dxa"/>
            <w:vMerge/>
            <w:tcBorders>
              <w:top w:val="nil"/>
              <w:left w:val="nil"/>
              <w:bottom w:val="nil"/>
              <w:right w:val="nil"/>
            </w:tcBorders>
            <w:vAlign w:val="center"/>
          </w:tcPr>
          <w:p w:rsidR="00031031" w:rsidRPr="0019470E" w:rsidRDefault="00031031" w:rsidP="0019470E">
            <w:pPr>
              <w:spacing w:after="0" w:line="240" w:lineRule="auto"/>
              <w:rPr>
                <w:color w:val="000000"/>
              </w:rPr>
            </w:pPr>
          </w:p>
        </w:tc>
        <w:tc>
          <w:tcPr>
            <w:tcW w:w="5200" w:type="dxa"/>
            <w:vMerge w:val="restart"/>
            <w:tcBorders>
              <w:top w:val="nil"/>
              <w:left w:val="nil"/>
              <w:bottom w:val="nil"/>
              <w:right w:val="nil"/>
            </w:tcBorders>
            <w:vAlign w:val="center"/>
          </w:tcPr>
          <w:p w:rsidR="00031031" w:rsidRPr="0019470E" w:rsidRDefault="00031031" w:rsidP="0019470E">
            <w:pPr>
              <w:spacing w:after="0" w:line="240" w:lineRule="auto"/>
              <w:rPr>
                <w:color w:val="000000"/>
              </w:rPr>
            </w:pPr>
            <w:r w:rsidRPr="0019470E">
              <w:rPr>
                <w:color w:val="000000"/>
              </w:rPr>
              <w:t xml:space="preserve">Allocated to capital in proportion to share of gross </w:t>
            </w:r>
            <w:r w:rsidRPr="0019470E">
              <w:rPr>
                <w:color w:val="000000"/>
              </w:rPr>
              <w:lastRenderedPageBreak/>
              <w:t xml:space="preserve">capital income. </w:t>
            </w:r>
          </w:p>
        </w:tc>
      </w:tr>
      <w:tr w:rsidR="00031031" w:rsidRPr="004113A4" w:rsidTr="0019470E">
        <w:trPr>
          <w:trHeight w:val="300"/>
        </w:trPr>
        <w:tc>
          <w:tcPr>
            <w:tcW w:w="3300" w:type="dxa"/>
            <w:vMerge/>
            <w:tcBorders>
              <w:top w:val="nil"/>
              <w:left w:val="nil"/>
              <w:bottom w:val="nil"/>
              <w:right w:val="nil"/>
            </w:tcBorders>
            <w:vAlign w:val="center"/>
          </w:tcPr>
          <w:p w:rsidR="00031031" w:rsidRPr="0019470E" w:rsidRDefault="00031031" w:rsidP="0019470E">
            <w:pPr>
              <w:spacing w:after="0" w:line="240" w:lineRule="auto"/>
              <w:rPr>
                <w:color w:val="000000"/>
              </w:rPr>
            </w:pPr>
          </w:p>
        </w:tc>
        <w:tc>
          <w:tcPr>
            <w:tcW w:w="5200" w:type="dxa"/>
            <w:vMerge/>
            <w:tcBorders>
              <w:top w:val="nil"/>
              <w:left w:val="nil"/>
              <w:bottom w:val="nil"/>
              <w:right w:val="nil"/>
            </w:tcBorders>
            <w:vAlign w:val="center"/>
          </w:tcPr>
          <w:p w:rsidR="00031031" w:rsidRPr="0019470E" w:rsidRDefault="00031031" w:rsidP="0019470E">
            <w:pPr>
              <w:spacing w:after="0" w:line="240" w:lineRule="auto"/>
              <w:rPr>
                <w:color w:val="000000"/>
              </w:rPr>
            </w:pPr>
          </w:p>
        </w:tc>
      </w:tr>
      <w:tr w:rsidR="00031031" w:rsidRPr="004113A4" w:rsidTr="0019470E">
        <w:trPr>
          <w:trHeight w:val="300"/>
        </w:trPr>
        <w:tc>
          <w:tcPr>
            <w:tcW w:w="3300" w:type="dxa"/>
            <w:tcBorders>
              <w:top w:val="nil"/>
              <w:left w:val="nil"/>
              <w:bottom w:val="nil"/>
              <w:right w:val="nil"/>
            </w:tcBorders>
            <w:vAlign w:val="center"/>
          </w:tcPr>
          <w:p w:rsidR="00031031" w:rsidRPr="0019470E" w:rsidRDefault="00031031" w:rsidP="0019470E">
            <w:pPr>
              <w:spacing w:after="0" w:line="240" w:lineRule="auto"/>
              <w:rPr>
                <w:color w:val="000000"/>
              </w:rPr>
            </w:pPr>
            <w:r w:rsidRPr="0019470E">
              <w:rPr>
                <w:color w:val="000000"/>
              </w:rPr>
              <w:lastRenderedPageBreak/>
              <w:t>Subsidies on products</w:t>
            </w:r>
          </w:p>
        </w:tc>
        <w:tc>
          <w:tcPr>
            <w:tcW w:w="5200" w:type="dxa"/>
            <w:tcBorders>
              <w:top w:val="nil"/>
              <w:left w:val="nil"/>
              <w:bottom w:val="nil"/>
              <w:right w:val="nil"/>
            </w:tcBorders>
            <w:vAlign w:val="center"/>
          </w:tcPr>
          <w:p w:rsidR="00031031" w:rsidRPr="0019470E" w:rsidRDefault="00031031" w:rsidP="0019470E">
            <w:pPr>
              <w:spacing w:after="0" w:line="240" w:lineRule="auto"/>
              <w:rPr>
                <w:color w:val="000000"/>
              </w:rPr>
            </w:pPr>
            <w:r w:rsidRPr="0019470E">
              <w:rPr>
                <w:color w:val="000000"/>
              </w:rPr>
              <w:t xml:space="preserve">Tax on consumption; consumption reduced. </w:t>
            </w:r>
          </w:p>
        </w:tc>
      </w:tr>
      <w:tr w:rsidR="00031031" w:rsidRPr="004113A4" w:rsidTr="0019470E">
        <w:trPr>
          <w:trHeight w:val="300"/>
        </w:trPr>
        <w:tc>
          <w:tcPr>
            <w:tcW w:w="3300" w:type="dxa"/>
            <w:vMerge w:val="restart"/>
            <w:tcBorders>
              <w:top w:val="nil"/>
              <w:left w:val="nil"/>
              <w:bottom w:val="single" w:sz="4" w:space="0" w:color="000000"/>
              <w:right w:val="nil"/>
            </w:tcBorders>
          </w:tcPr>
          <w:p w:rsidR="00031031" w:rsidRPr="0019470E" w:rsidRDefault="00031031" w:rsidP="0019470E">
            <w:pPr>
              <w:spacing w:after="0" w:line="240" w:lineRule="auto"/>
              <w:rPr>
                <w:color w:val="000000"/>
              </w:rPr>
            </w:pPr>
            <w:r w:rsidRPr="0019470E">
              <w:rPr>
                <w:color w:val="000000"/>
              </w:rPr>
              <w:t>Other subsidies on production</w:t>
            </w:r>
          </w:p>
        </w:tc>
        <w:tc>
          <w:tcPr>
            <w:tcW w:w="5200" w:type="dxa"/>
            <w:vMerge w:val="restart"/>
            <w:tcBorders>
              <w:top w:val="nil"/>
              <w:left w:val="nil"/>
              <w:bottom w:val="nil"/>
              <w:right w:val="nil"/>
            </w:tcBorders>
            <w:vAlign w:val="center"/>
          </w:tcPr>
          <w:p w:rsidR="00031031" w:rsidRPr="0019470E" w:rsidRDefault="00031031" w:rsidP="0019470E">
            <w:pPr>
              <w:spacing w:after="0" w:line="240" w:lineRule="auto"/>
              <w:rPr>
                <w:color w:val="000000"/>
              </w:rPr>
            </w:pPr>
            <w:r w:rsidRPr="0019470E">
              <w:rPr>
                <w:color w:val="000000"/>
              </w:rPr>
              <w:t xml:space="preserve">Allocated to </w:t>
            </w:r>
            <w:r>
              <w:rPr>
                <w:color w:val="000000"/>
              </w:rPr>
              <w:t>labour</w:t>
            </w:r>
            <w:r w:rsidRPr="0019470E">
              <w:rPr>
                <w:color w:val="000000"/>
              </w:rPr>
              <w:t xml:space="preserve"> in proportion to share of </w:t>
            </w:r>
            <w:r>
              <w:rPr>
                <w:color w:val="000000"/>
              </w:rPr>
              <w:t>labour</w:t>
            </w:r>
            <w:r w:rsidRPr="0019470E">
              <w:rPr>
                <w:color w:val="000000"/>
              </w:rPr>
              <w:t xml:space="preserve"> income.</w:t>
            </w:r>
          </w:p>
        </w:tc>
      </w:tr>
      <w:tr w:rsidR="00031031" w:rsidRPr="004113A4" w:rsidTr="0019470E">
        <w:trPr>
          <w:trHeight w:val="300"/>
        </w:trPr>
        <w:tc>
          <w:tcPr>
            <w:tcW w:w="3300" w:type="dxa"/>
            <w:vMerge/>
            <w:tcBorders>
              <w:top w:val="nil"/>
              <w:left w:val="nil"/>
              <w:bottom w:val="single" w:sz="4" w:space="0" w:color="000000"/>
              <w:right w:val="nil"/>
            </w:tcBorders>
            <w:vAlign w:val="center"/>
          </w:tcPr>
          <w:p w:rsidR="00031031" w:rsidRPr="0019470E" w:rsidRDefault="00031031" w:rsidP="0019470E">
            <w:pPr>
              <w:spacing w:after="0" w:line="240" w:lineRule="auto"/>
              <w:rPr>
                <w:color w:val="000000"/>
              </w:rPr>
            </w:pPr>
          </w:p>
        </w:tc>
        <w:tc>
          <w:tcPr>
            <w:tcW w:w="5200" w:type="dxa"/>
            <w:vMerge/>
            <w:tcBorders>
              <w:top w:val="nil"/>
              <w:left w:val="nil"/>
              <w:bottom w:val="nil"/>
              <w:right w:val="nil"/>
            </w:tcBorders>
            <w:vAlign w:val="center"/>
          </w:tcPr>
          <w:p w:rsidR="00031031" w:rsidRPr="0019470E" w:rsidRDefault="00031031" w:rsidP="0019470E">
            <w:pPr>
              <w:spacing w:after="0" w:line="240" w:lineRule="auto"/>
              <w:rPr>
                <w:color w:val="000000"/>
              </w:rPr>
            </w:pPr>
          </w:p>
        </w:tc>
      </w:tr>
      <w:tr w:rsidR="00031031" w:rsidRPr="004113A4" w:rsidTr="0019470E">
        <w:trPr>
          <w:trHeight w:val="300"/>
        </w:trPr>
        <w:tc>
          <w:tcPr>
            <w:tcW w:w="3300" w:type="dxa"/>
            <w:vMerge/>
            <w:tcBorders>
              <w:top w:val="nil"/>
              <w:left w:val="nil"/>
              <w:bottom w:val="single" w:sz="4" w:space="0" w:color="000000"/>
              <w:right w:val="nil"/>
            </w:tcBorders>
            <w:vAlign w:val="center"/>
          </w:tcPr>
          <w:p w:rsidR="00031031" w:rsidRPr="0019470E" w:rsidRDefault="00031031" w:rsidP="0019470E">
            <w:pPr>
              <w:spacing w:after="0" w:line="240" w:lineRule="auto"/>
              <w:rPr>
                <w:color w:val="000000"/>
              </w:rPr>
            </w:pPr>
          </w:p>
        </w:tc>
        <w:tc>
          <w:tcPr>
            <w:tcW w:w="5200" w:type="dxa"/>
            <w:vMerge w:val="restart"/>
            <w:tcBorders>
              <w:top w:val="nil"/>
              <w:left w:val="nil"/>
              <w:bottom w:val="single" w:sz="4" w:space="0" w:color="000000"/>
              <w:right w:val="nil"/>
            </w:tcBorders>
            <w:vAlign w:val="center"/>
          </w:tcPr>
          <w:p w:rsidR="00031031" w:rsidRPr="0019470E" w:rsidRDefault="00031031" w:rsidP="0019470E">
            <w:pPr>
              <w:spacing w:after="0" w:line="240" w:lineRule="auto"/>
              <w:rPr>
                <w:color w:val="000000"/>
              </w:rPr>
            </w:pPr>
            <w:r w:rsidRPr="0019470E">
              <w:rPr>
                <w:color w:val="000000"/>
              </w:rPr>
              <w:t xml:space="preserve">Allocated to capital in proportion to share of gross capital income. </w:t>
            </w:r>
          </w:p>
        </w:tc>
      </w:tr>
      <w:tr w:rsidR="00031031" w:rsidRPr="004113A4" w:rsidTr="0019470E">
        <w:trPr>
          <w:trHeight w:val="300"/>
        </w:trPr>
        <w:tc>
          <w:tcPr>
            <w:tcW w:w="3300" w:type="dxa"/>
            <w:vMerge/>
            <w:tcBorders>
              <w:top w:val="nil"/>
              <w:left w:val="nil"/>
              <w:bottom w:val="single" w:sz="4" w:space="0" w:color="000000"/>
              <w:right w:val="nil"/>
            </w:tcBorders>
            <w:vAlign w:val="center"/>
          </w:tcPr>
          <w:p w:rsidR="00031031" w:rsidRPr="0019470E" w:rsidRDefault="00031031" w:rsidP="0019470E">
            <w:pPr>
              <w:spacing w:after="0" w:line="240" w:lineRule="auto"/>
              <w:rPr>
                <w:color w:val="000000"/>
              </w:rPr>
            </w:pPr>
          </w:p>
        </w:tc>
        <w:tc>
          <w:tcPr>
            <w:tcW w:w="5200" w:type="dxa"/>
            <w:vMerge/>
            <w:tcBorders>
              <w:top w:val="nil"/>
              <w:left w:val="nil"/>
              <w:bottom w:val="single" w:sz="4" w:space="0" w:color="000000"/>
              <w:right w:val="nil"/>
            </w:tcBorders>
            <w:vAlign w:val="center"/>
          </w:tcPr>
          <w:p w:rsidR="00031031" w:rsidRPr="0019470E" w:rsidRDefault="00031031" w:rsidP="0019470E">
            <w:pPr>
              <w:spacing w:after="0" w:line="240" w:lineRule="auto"/>
              <w:rPr>
                <w:color w:val="000000"/>
              </w:rPr>
            </w:pPr>
          </w:p>
        </w:tc>
      </w:tr>
    </w:tbl>
    <w:p w:rsidR="00031031" w:rsidRDefault="00031031" w:rsidP="00F915EB"/>
    <w:p w:rsidR="00031031" w:rsidRDefault="00031031" w:rsidP="00F915EB">
      <w:r>
        <w:t xml:space="preserve">A third adjustment is required to convert gross capital income to net capital income which is used in NTA. </w:t>
      </w:r>
    </w:p>
    <w:p w:rsidR="00031031" w:rsidRDefault="00031031" w:rsidP="00B95759">
      <w:pPr>
        <w:pStyle w:val="ListParagraph"/>
        <w:numPr>
          <w:ilvl w:val="0"/>
          <w:numId w:val="20"/>
          <w:numberingChange w:id="3" w:author="Unknown" w:date="2013-11-14T10:11:00Z" w:original=""/>
        </w:numPr>
      </w:pPr>
      <w:r>
        <w:rPr>
          <w:b/>
        </w:rPr>
        <w:t xml:space="preserve">Net capital income. </w:t>
      </w:r>
      <w:r>
        <w:t xml:space="preserve">Net capital income is calculated as gross capital income less capital consumption. Capital consumption is available in the allocation of primary income account, as an addendum to one of the other flow accounts, or as part of the capital accounts. If these data are not available, there are methods available for estimating consumption of capital. </w:t>
      </w:r>
    </w:p>
    <w:p w:rsidR="00031031" w:rsidRDefault="00031031" w:rsidP="00B95759">
      <w:pPr>
        <w:pStyle w:val="Heading2"/>
      </w:pPr>
      <w:r>
        <w:t>4.3.2 Calculating consumption and saving</w:t>
      </w:r>
    </w:p>
    <w:p w:rsidR="00031031" w:rsidRDefault="00031031" w:rsidP="00F915EB">
      <w:r>
        <w:t>Consumption, as defined in NTA, is very similar to consumption as defined in SNA and reported in the u</w:t>
      </w:r>
      <w:r w:rsidRPr="006C3DA4">
        <w:t xml:space="preserve">se of </w:t>
      </w:r>
      <w:r>
        <w:t>d</w:t>
      </w:r>
      <w:r w:rsidRPr="006C3DA4">
        <w:t xml:space="preserve">isposable </w:t>
      </w:r>
      <w:r>
        <w:t>i</w:t>
      </w:r>
      <w:r w:rsidRPr="006C3DA4">
        <w:t xml:space="preserve">ncome </w:t>
      </w:r>
      <w:r>
        <w:t>a</w:t>
      </w:r>
      <w:r w:rsidRPr="006C3DA4">
        <w:t>ccount</w:t>
      </w:r>
      <w:r>
        <w:rPr>
          <w:i/>
        </w:rPr>
        <w:t>.</w:t>
      </w:r>
      <w:r>
        <w:t xml:space="preserve"> Private and public consumption are distinguished in NTA. Private values are obtained by aggregating values for financial and non-financial corporation, households, and NPISHs. Public values are based on consumption and saving of general government as reported in SNA. </w:t>
      </w:r>
    </w:p>
    <w:p w:rsidR="00031031" w:rsidRDefault="00031031" w:rsidP="00F915EB">
      <w:r>
        <w:t xml:space="preserve">Two adjustments for consumption may be necessary to obtain NTA values: </w:t>
      </w:r>
    </w:p>
    <w:p w:rsidR="00031031" w:rsidRDefault="00031031" w:rsidP="001F19EA">
      <w:pPr>
        <w:pStyle w:val="ListParagraph"/>
        <w:numPr>
          <w:ilvl w:val="0"/>
          <w:numId w:val="12"/>
          <w:numberingChange w:id="4" w:author="Unknown" w:date="2013-11-14T10:11:00Z" w:original=""/>
        </w:numPr>
      </w:pPr>
      <w:r w:rsidRPr="00F915EB">
        <w:rPr>
          <w:b/>
        </w:rPr>
        <w:t>Ta</w:t>
      </w:r>
      <w:r>
        <w:rPr>
          <w:b/>
        </w:rPr>
        <w:t>xes on products and production l</w:t>
      </w:r>
      <w:r w:rsidRPr="00F915EB">
        <w:rPr>
          <w:b/>
        </w:rPr>
        <w:t xml:space="preserve">ess </w:t>
      </w:r>
      <w:r>
        <w:rPr>
          <w:b/>
        </w:rPr>
        <w:t>s</w:t>
      </w:r>
      <w:r w:rsidRPr="00F915EB">
        <w:rPr>
          <w:b/>
        </w:rPr>
        <w:t>ubsidies.</w:t>
      </w:r>
      <w:r>
        <w:t xml:space="preserve"> The treatment of taxes on products and production less subsidies is described in detail in the preceding section. Consumption must be adjusted downward to exclude taxes less subsidies on products. </w:t>
      </w:r>
    </w:p>
    <w:p w:rsidR="00031031" w:rsidRDefault="00031031" w:rsidP="001F19EA">
      <w:pPr>
        <w:pStyle w:val="ListParagraph"/>
        <w:numPr>
          <w:ilvl w:val="0"/>
          <w:numId w:val="12"/>
          <w:numberingChange w:id="5" w:author="Unknown" w:date="2013-11-14T10:11:00Z" w:original=""/>
        </w:numPr>
      </w:pPr>
      <w:r>
        <w:rPr>
          <w:b/>
        </w:rPr>
        <w:t xml:space="preserve">Reclassification of public and private consumption. </w:t>
      </w:r>
      <w:r>
        <w:t>In some cases, private consumption is reclassified as public consumption. This adjustment is discussed in chapter 5.</w:t>
      </w:r>
    </w:p>
    <w:p w:rsidR="00031031" w:rsidRDefault="00031031" w:rsidP="001F19EA">
      <w:r>
        <w:t>Saving in NTA is equivalent to disposable income less consumption as defined in SNA and reported in the u</w:t>
      </w:r>
      <w:r w:rsidRPr="006C3DA4">
        <w:t xml:space="preserve">se of </w:t>
      </w:r>
      <w:r>
        <w:t>d</w:t>
      </w:r>
      <w:r w:rsidRPr="006C3DA4">
        <w:t xml:space="preserve">isposable </w:t>
      </w:r>
      <w:r>
        <w:t>i</w:t>
      </w:r>
      <w:r w:rsidRPr="006C3DA4">
        <w:t xml:space="preserve">ncome </w:t>
      </w:r>
      <w:r>
        <w:t>a</w:t>
      </w:r>
      <w:r w:rsidRPr="006C3DA4">
        <w:t>ccount</w:t>
      </w:r>
      <w:r>
        <w:rPr>
          <w:i/>
        </w:rPr>
        <w:t xml:space="preserve">. </w:t>
      </w:r>
      <w:r>
        <w:t xml:space="preserve">No adjustment is made for changes in pension entitlements which will lead to a difference between SNA and NTA values of saving only if changes in pension entitlements are non-zero for ROW. Private saving is defined as the sum of financial and non-financial corporations, households and NPISHs. Public saving is defined as the sum of saving of general government. </w:t>
      </w:r>
    </w:p>
    <w:p w:rsidR="00031031" w:rsidRPr="00B57DC9" w:rsidRDefault="00031031" w:rsidP="001F19EA">
      <w:r>
        <w:t xml:space="preserve">Calculating macro controls for primary income, consumption and saving provide all values required to construct a full set of life cycle controls (table 4.1) and all values required to construct public and private asset–based reallocations as reported in tables 4.2 and 4.3, respectively. </w:t>
      </w:r>
    </w:p>
    <w:p w:rsidR="00031031" w:rsidRDefault="00031031" w:rsidP="00993ECE">
      <w:pPr>
        <w:pStyle w:val="Heading2"/>
      </w:pPr>
      <w:r>
        <w:t>4.3.3 Calculating public and private transfers</w:t>
      </w:r>
    </w:p>
    <w:p w:rsidR="00031031" w:rsidRDefault="00031031" w:rsidP="006E557D">
      <w:r>
        <w:t>Constructing NTA transfers relies heavily on SNA flows reported in the s</w:t>
      </w:r>
      <w:r w:rsidRPr="006C3DA4">
        <w:t xml:space="preserve">econdary </w:t>
      </w:r>
      <w:r>
        <w:t>d</w:t>
      </w:r>
      <w:r w:rsidRPr="006C3DA4">
        <w:t xml:space="preserve">istribution of </w:t>
      </w:r>
      <w:r>
        <w:t>i</w:t>
      </w:r>
      <w:r w:rsidRPr="006C3DA4">
        <w:t xml:space="preserve">ncome </w:t>
      </w:r>
      <w:r>
        <w:t>a</w:t>
      </w:r>
      <w:r w:rsidRPr="006C3DA4">
        <w:t xml:space="preserve">ccount. </w:t>
      </w:r>
      <w:r>
        <w:t xml:space="preserve">There are important differences between the NTA concepts of public and private transfers and the concepts used in SNA. In NTA, a public transfer refers to a flow between the private sector and the </w:t>
      </w:r>
      <w:r>
        <w:lastRenderedPageBreak/>
        <w:t>public sector or a flow between the ROW and the public sector. Private transfers refer to flows within the private sector and flows between the private sector and ROW. Flows between government units do not directly lead to age reallocations and are not included in NTA. In order to construct NTA flows, it is necessary to classify flows in the SNA s</w:t>
      </w:r>
      <w:r w:rsidRPr="006C3DA4">
        <w:t xml:space="preserve">econdary </w:t>
      </w:r>
      <w:r>
        <w:t>d</w:t>
      </w:r>
      <w:r w:rsidRPr="006C3DA4">
        <w:t xml:space="preserve">istribution of </w:t>
      </w:r>
      <w:r>
        <w:t>i</w:t>
      </w:r>
      <w:r w:rsidRPr="006C3DA4">
        <w:t>ncome</w:t>
      </w:r>
      <w:r>
        <w:rPr>
          <w:i/>
        </w:rPr>
        <w:t xml:space="preserve"> </w:t>
      </w:r>
      <w:r>
        <w:t>into the four groups: public/private, public/ROW, private/private and private/ROW.</w:t>
      </w:r>
    </w:p>
    <w:p w:rsidR="00031031" w:rsidRDefault="00031031" w:rsidP="006E557D">
      <w:r>
        <w:t xml:space="preserve">The second difference between NTA transfers and SNA flows is that current transfers in NTA are more inclusive than in SNA. First, all taxes including taxes less subsidies on products and production are classified as a public transfer outflow in NTA. (It is an outflow because NTA values are always reported from the perspective of the in NTA.) Second, a broad definition of in-kind public transfer inflows is employed in NTA that include all public consumption, both individual and collective consumption. Residents receive in-kind public transfer which, in turn, they consume. </w:t>
      </w:r>
    </w:p>
    <w:p w:rsidR="00031031" w:rsidRDefault="00031031" w:rsidP="006E557D">
      <w:r>
        <w:t>SNA provides limited information that can be used to estimate aggregate controls for private transfers. Transfers between households are not generally included in the SNA s</w:t>
      </w:r>
      <w:r w:rsidRPr="006C3DA4">
        <w:t xml:space="preserve">econdary </w:t>
      </w:r>
      <w:r>
        <w:t>d</w:t>
      </w:r>
      <w:r w:rsidRPr="006C3DA4">
        <w:t xml:space="preserve">istribution of </w:t>
      </w:r>
      <w:r>
        <w:t>i</w:t>
      </w:r>
      <w:r w:rsidRPr="006C3DA4">
        <w:t xml:space="preserve">ncome </w:t>
      </w:r>
      <w:r>
        <w:t>a</w:t>
      </w:r>
      <w:r w:rsidRPr="006C3DA4">
        <w:t>ccount.</w:t>
      </w:r>
      <w:r>
        <w:rPr>
          <w:i/>
        </w:rPr>
        <w:t xml:space="preserve"> </w:t>
      </w:r>
      <w:r>
        <w:t xml:space="preserve">Intra-household transfers values are not available in SNA or from other statistical sources. Intra-household transfers are estimated indirectly using methods described in chapter 7. </w:t>
      </w:r>
    </w:p>
    <w:p w:rsidR="00031031" w:rsidRDefault="00031031" w:rsidP="006E557D">
      <w:r>
        <w:t xml:space="preserve">SNA data can be used to construct an estimate of net private transfers from ROW. This is very useful because it is equal to private transfers for residents. Combining private transfers with private asset–based reallocations yields an estimate of private age reallocation. </w:t>
      </w:r>
    </w:p>
    <w:p w:rsidR="00031031" w:rsidRDefault="00031031" w:rsidP="006E557D">
      <w:r>
        <w:t xml:space="preserve">Important details about constructing public and private transfer flows are best discussed in the context of a specific example taken up in the next section. </w:t>
      </w:r>
    </w:p>
    <w:p w:rsidR="00031031" w:rsidRDefault="00031031" w:rsidP="002F5404">
      <w:pPr>
        <w:pStyle w:val="Heading1"/>
      </w:pPr>
      <w:r>
        <w:t>4.4 An example of calculating macro controls</w:t>
      </w:r>
    </w:p>
    <w:p w:rsidR="00031031" w:rsidRDefault="00031031" w:rsidP="001F19EA">
      <w:r>
        <w:t>This section provides a complete example of constructing macro controls based on SNA model data for in 2008.</w:t>
      </w:r>
      <w:r>
        <w:rPr>
          <w:rStyle w:val="FootnoteReference"/>
        </w:rPr>
        <w:footnoteReference w:id="1"/>
      </w:r>
    </w:p>
    <w:p w:rsidR="00031031" w:rsidRDefault="00031031" w:rsidP="002F5404">
      <w:pPr>
        <w:pStyle w:val="Heading2"/>
      </w:pPr>
      <w:r>
        <w:t xml:space="preserve">4.4.1 Calculating primary income </w:t>
      </w:r>
    </w:p>
    <w:p w:rsidR="00031031" w:rsidRDefault="00031031" w:rsidP="002F5404">
      <w:r>
        <w:t>The SNA allocation of primary income account is presented in simplified form in table 4.5. The accounts have been reduced to two sectors: private, which is the sum of flows for corporations, households, and NPISHs, and general government. Resources and uses are presented for each flow. Many detailed flows are not reported as they are not needed for our purpose.</w:t>
      </w:r>
    </w:p>
    <w:p w:rsidR="00031031" w:rsidRDefault="00D00BD1" w:rsidP="002F5404">
      <w:r>
        <w:lastRenderedPageBreak/>
        <w:pict>
          <v:shape id="_x0000_i1029" type="#_x0000_t75" style="width:458.4pt;height:224.8pt">
            <v:imagedata r:id="rId14" o:title=""/>
          </v:shape>
        </w:pict>
      </w:r>
      <w:r w:rsidR="00031031" w:rsidRPr="00396E3F">
        <w:t xml:space="preserve"> </w:t>
      </w:r>
    </w:p>
    <w:p w:rsidR="00031031" w:rsidRDefault="00031031" w:rsidP="002F5404">
      <w:r>
        <w:t xml:space="preserve">Although flows to and from households are not required for most purposes, there are two exceptions. The net operating surplus of households serves as the macro control for imputed asset income from owner-occupied housing and is reported under private operating surplus. Interest paid by households is also distinguished in NTA and this value is reported in the note to table 4.5. </w:t>
      </w:r>
    </w:p>
    <w:p w:rsidR="00031031" w:rsidRDefault="00031031" w:rsidP="002F5404">
      <w:r>
        <w:t>Table 4.6 on NTA primary income is presented below and is intended only as a bridge between SNA and standard NTA aggregate control tables. Primary income consists of only two components in NTA: labour income, consisting of compensation and self-employment labour income, and asset income, consisting of capital income and property income. NTA net national income (1,509) is less than SNA net national income (1,642) because taxes less subsidies on products (taxes on consumption) are not included in NTA net national income.</w:t>
      </w:r>
    </w:p>
    <w:p w:rsidR="00031031" w:rsidRPr="00F34D87" w:rsidRDefault="00D00BD1" w:rsidP="002F5404">
      <w:r>
        <w:pict>
          <v:shape id="_x0000_i1030" type="#_x0000_t75" style="width:458.4pt;height:166.4pt">
            <v:imagedata r:id="rId15" o:title=""/>
          </v:shape>
        </w:pict>
      </w:r>
    </w:p>
    <w:p w:rsidR="00031031" w:rsidRDefault="00031031" w:rsidP="002F5404"/>
    <w:p w:rsidR="00031031" w:rsidRDefault="00031031" w:rsidP="002F5404">
      <w:r>
        <w:t xml:space="preserve">Converting the SNA representation of primary income (table 4.5) to the NTA representation (table 4.6) involves several adjustments. The first adjustment is to allocate gross mixed income to self-employment </w:t>
      </w:r>
      <w:r>
        <w:lastRenderedPageBreak/>
        <w:t xml:space="preserve">labour income and capital’s share of mixed income. Two thirds is allocated to labour and one third to capital income (table 4.7). </w:t>
      </w:r>
    </w:p>
    <w:tbl>
      <w:tblPr>
        <w:tblW w:w="7400" w:type="dxa"/>
        <w:tblInd w:w="93" w:type="dxa"/>
        <w:tblLook w:val="00A0"/>
      </w:tblPr>
      <w:tblGrid>
        <w:gridCol w:w="2859"/>
        <w:gridCol w:w="737"/>
        <w:gridCol w:w="2070"/>
        <w:gridCol w:w="1734"/>
      </w:tblGrid>
      <w:tr w:rsidR="00031031" w:rsidRPr="004113A4" w:rsidTr="00396E3F">
        <w:trPr>
          <w:trHeight w:val="300"/>
        </w:trPr>
        <w:tc>
          <w:tcPr>
            <w:tcW w:w="7400" w:type="dxa"/>
            <w:gridSpan w:val="4"/>
            <w:tcBorders>
              <w:top w:val="nil"/>
              <w:left w:val="nil"/>
              <w:bottom w:val="single" w:sz="4" w:space="0" w:color="auto"/>
              <w:right w:val="nil"/>
            </w:tcBorders>
            <w:noWrap/>
            <w:vAlign w:val="bottom"/>
          </w:tcPr>
          <w:p w:rsidR="00031031" w:rsidRPr="00396E3F" w:rsidRDefault="00031031" w:rsidP="00396E3F">
            <w:pPr>
              <w:spacing w:after="0" w:line="240" w:lineRule="auto"/>
              <w:rPr>
                <w:color w:val="000000"/>
              </w:rPr>
            </w:pPr>
            <w:r w:rsidRPr="00396E3F">
              <w:rPr>
                <w:color w:val="000000"/>
              </w:rPr>
              <w:t>Table 4.7</w:t>
            </w:r>
            <w:r>
              <w:rPr>
                <w:color w:val="000000"/>
              </w:rPr>
              <w:t xml:space="preserve">. </w:t>
            </w:r>
            <w:r w:rsidRPr="00396E3F">
              <w:rPr>
                <w:color w:val="000000"/>
              </w:rPr>
              <w:t xml:space="preserve">Allocation of mixed income </w:t>
            </w:r>
          </w:p>
        </w:tc>
      </w:tr>
      <w:tr w:rsidR="00031031" w:rsidRPr="004113A4" w:rsidTr="00396E3F">
        <w:trPr>
          <w:trHeight w:val="300"/>
        </w:trPr>
        <w:tc>
          <w:tcPr>
            <w:tcW w:w="2859" w:type="dxa"/>
            <w:vMerge w:val="restart"/>
            <w:tcBorders>
              <w:top w:val="nil"/>
              <w:left w:val="nil"/>
              <w:bottom w:val="single" w:sz="4" w:space="0" w:color="000000"/>
              <w:right w:val="nil"/>
            </w:tcBorders>
            <w:noWrap/>
            <w:vAlign w:val="bottom"/>
          </w:tcPr>
          <w:p w:rsidR="00031031" w:rsidRPr="00396E3F" w:rsidRDefault="00031031" w:rsidP="00396E3F">
            <w:pPr>
              <w:spacing w:after="0" w:line="240" w:lineRule="auto"/>
              <w:rPr>
                <w:color w:val="000000"/>
              </w:rPr>
            </w:pPr>
            <w:r w:rsidRPr="00396E3F">
              <w:rPr>
                <w:color w:val="000000"/>
              </w:rPr>
              <w:t>Item</w:t>
            </w:r>
          </w:p>
        </w:tc>
        <w:tc>
          <w:tcPr>
            <w:tcW w:w="737" w:type="dxa"/>
            <w:vMerge w:val="restart"/>
            <w:tcBorders>
              <w:top w:val="nil"/>
              <w:left w:val="nil"/>
              <w:bottom w:val="single" w:sz="4" w:space="0" w:color="000000"/>
              <w:right w:val="nil"/>
            </w:tcBorders>
            <w:noWrap/>
            <w:vAlign w:val="bottom"/>
          </w:tcPr>
          <w:p w:rsidR="00031031" w:rsidRPr="00396E3F" w:rsidRDefault="00031031" w:rsidP="00396E3F">
            <w:pPr>
              <w:spacing w:after="0" w:line="240" w:lineRule="auto"/>
              <w:jc w:val="center"/>
              <w:rPr>
                <w:color w:val="000000"/>
              </w:rPr>
            </w:pPr>
            <w:r w:rsidRPr="00396E3F">
              <w:rPr>
                <w:color w:val="000000"/>
              </w:rPr>
              <w:t>Total</w:t>
            </w:r>
          </w:p>
        </w:tc>
        <w:tc>
          <w:tcPr>
            <w:tcW w:w="2070" w:type="dxa"/>
            <w:vMerge w:val="restart"/>
            <w:tcBorders>
              <w:top w:val="nil"/>
              <w:left w:val="nil"/>
              <w:bottom w:val="single" w:sz="4" w:space="0" w:color="000000"/>
              <w:right w:val="nil"/>
            </w:tcBorders>
            <w:vAlign w:val="bottom"/>
          </w:tcPr>
          <w:p w:rsidR="00031031" w:rsidRPr="00396E3F" w:rsidRDefault="00031031" w:rsidP="00396E3F">
            <w:pPr>
              <w:spacing w:after="0" w:line="240" w:lineRule="auto"/>
              <w:jc w:val="center"/>
              <w:rPr>
                <w:color w:val="000000"/>
              </w:rPr>
            </w:pPr>
            <w:r w:rsidRPr="00396E3F">
              <w:rPr>
                <w:color w:val="000000"/>
              </w:rPr>
              <w:t xml:space="preserve">Self-employment </w:t>
            </w:r>
            <w:r>
              <w:rPr>
                <w:color w:val="000000"/>
              </w:rPr>
              <w:t>labour</w:t>
            </w:r>
            <w:r w:rsidRPr="00396E3F">
              <w:rPr>
                <w:color w:val="000000"/>
              </w:rPr>
              <w:t xml:space="preserve"> income</w:t>
            </w:r>
          </w:p>
        </w:tc>
        <w:tc>
          <w:tcPr>
            <w:tcW w:w="1734" w:type="dxa"/>
            <w:vMerge w:val="restart"/>
            <w:tcBorders>
              <w:top w:val="nil"/>
              <w:left w:val="nil"/>
              <w:bottom w:val="single" w:sz="4" w:space="0" w:color="000000"/>
              <w:right w:val="nil"/>
            </w:tcBorders>
            <w:vAlign w:val="bottom"/>
          </w:tcPr>
          <w:p w:rsidR="00031031" w:rsidRPr="00396E3F" w:rsidRDefault="00031031" w:rsidP="00396E3F">
            <w:pPr>
              <w:spacing w:after="0" w:line="240" w:lineRule="auto"/>
              <w:jc w:val="center"/>
              <w:rPr>
                <w:color w:val="000000"/>
              </w:rPr>
            </w:pPr>
            <w:r w:rsidRPr="00396E3F">
              <w:rPr>
                <w:color w:val="000000"/>
              </w:rPr>
              <w:t>Capital share of mixed income</w:t>
            </w:r>
          </w:p>
        </w:tc>
      </w:tr>
      <w:tr w:rsidR="00031031" w:rsidRPr="004113A4" w:rsidTr="00396E3F">
        <w:trPr>
          <w:trHeight w:val="300"/>
        </w:trPr>
        <w:tc>
          <w:tcPr>
            <w:tcW w:w="2859" w:type="dxa"/>
            <w:vMerge/>
            <w:tcBorders>
              <w:top w:val="nil"/>
              <w:left w:val="nil"/>
              <w:bottom w:val="single" w:sz="4" w:space="0" w:color="000000"/>
              <w:right w:val="nil"/>
            </w:tcBorders>
            <w:vAlign w:val="center"/>
          </w:tcPr>
          <w:p w:rsidR="00031031" w:rsidRPr="00396E3F" w:rsidRDefault="00031031" w:rsidP="00396E3F">
            <w:pPr>
              <w:spacing w:after="0" w:line="240" w:lineRule="auto"/>
              <w:rPr>
                <w:color w:val="000000"/>
              </w:rPr>
            </w:pPr>
          </w:p>
        </w:tc>
        <w:tc>
          <w:tcPr>
            <w:tcW w:w="737" w:type="dxa"/>
            <w:vMerge/>
            <w:tcBorders>
              <w:top w:val="nil"/>
              <w:left w:val="nil"/>
              <w:bottom w:val="single" w:sz="4" w:space="0" w:color="000000"/>
              <w:right w:val="nil"/>
            </w:tcBorders>
            <w:vAlign w:val="center"/>
          </w:tcPr>
          <w:p w:rsidR="00031031" w:rsidRPr="00396E3F" w:rsidRDefault="00031031" w:rsidP="00396E3F">
            <w:pPr>
              <w:spacing w:after="0" w:line="240" w:lineRule="auto"/>
              <w:rPr>
                <w:color w:val="000000"/>
              </w:rPr>
            </w:pPr>
          </w:p>
        </w:tc>
        <w:tc>
          <w:tcPr>
            <w:tcW w:w="2070" w:type="dxa"/>
            <w:vMerge/>
            <w:tcBorders>
              <w:top w:val="nil"/>
              <w:left w:val="nil"/>
              <w:bottom w:val="single" w:sz="4" w:space="0" w:color="000000"/>
              <w:right w:val="nil"/>
            </w:tcBorders>
            <w:vAlign w:val="center"/>
          </w:tcPr>
          <w:p w:rsidR="00031031" w:rsidRPr="00396E3F" w:rsidRDefault="00031031" w:rsidP="00396E3F">
            <w:pPr>
              <w:spacing w:after="0" w:line="240" w:lineRule="auto"/>
              <w:rPr>
                <w:color w:val="000000"/>
              </w:rPr>
            </w:pPr>
          </w:p>
        </w:tc>
        <w:tc>
          <w:tcPr>
            <w:tcW w:w="1734" w:type="dxa"/>
            <w:vMerge/>
            <w:tcBorders>
              <w:top w:val="nil"/>
              <w:left w:val="nil"/>
              <w:bottom w:val="single" w:sz="4" w:space="0" w:color="000000"/>
              <w:right w:val="nil"/>
            </w:tcBorders>
            <w:vAlign w:val="center"/>
          </w:tcPr>
          <w:p w:rsidR="00031031" w:rsidRPr="00396E3F" w:rsidRDefault="00031031" w:rsidP="00396E3F">
            <w:pPr>
              <w:spacing w:after="0" w:line="240" w:lineRule="auto"/>
              <w:rPr>
                <w:color w:val="000000"/>
              </w:rPr>
            </w:pPr>
          </w:p>
        </w:tc>
      </w:tr>
      <w:tr w:rsidR="00031031" w:rsidRPr="004113A4" w:rsidTr="00396E3F">
        <w:trPr>
          <w:trHeight w:val="300"/>
        </w:trPr>
        <w:tc>
          <w:tcPr>
            <w:tcW w:w="2859" w:type="dxa"/>
            <w:tcBorders>
              <w:top w:val="nil"/>
              <w:left w:val="nil"/>
              <w:bottom w:val="single" w:sz="4" w:space="0" w:color="auto"/>
              <w:right w:val="nil"/>
            </w:tcBorders>
            <w:noWrap/>
            <w:vAlign w:val="bottom"/>
          </w:tcPr>
          <w:p w:rsidR="00031031" w:rsidRPr="00396E3F" w:rsidRDefault="00031031" w:rsidP="00396E3F">
            <w:pPr>
              <w:spacing w:after="0" w:line="240" w:lineRule="auto"/>
              <w:rPr>
                <w:color w:val="000000"/>
              </w:rPr>
            </w:pPr>
            <w:r w:rsidRPr="00396E3F">
              <w:rPr>
                <w:color w:val="000000"/>
              </w:rPr>
              <w:t>Mixed income, gross</w:t>
            </w:r>
          </w:p>
        </w:tc>
        <w:tc>
          <w:tcPr>
            <w:tcW w:w="737" w:type="dxa"/>
            <w:tcBorders>
              <w:top w:val="nil"/>
              <w:left w:val="nil"/>
              <w:bottom w:val="single" w:sz="4" w:space="0" w:color="auto"/>
              <w:right w:val="nil"/>
            </w:tcBorders>
            <w:noWrap/>
            <w:vAlign w:val="bottom"/>
          </w:tcPr>
          <w:p w:rsidR="00031031" w:rsidRPr="00396E3F" w:rsidRDefault="00031031" w:rsidP="00396E3F">
            <w:pPr>
              <w:spacing w:after="0" w:line="240" w:lineRule="auto"/>
              <w:jc w:val="center"/>
              <w:rPr>
                <w:color w:val="000000"/>
              </w:rPr>
            </w:pPr>
            <w:r w:rsidRPr="00396E3F">
              <w:rPr>
                <w:color w:val="000000"/>
              </w:rPr>
              <w:t>61</w:t>
            </w:r>
          </w:p>
        </w:tc>
        <w:tc>
          <w:tcPr>
            <w:tcW w:w="2070" w:type="dxa"/>
            <w:tcBorders>
              <w:top w:val="nil"/>
              <w:left w:val="nil"/>
              <w:bottom w:val="single" w:sz="4" w:space="0" w:color="auto"/>
              <w:right w:val="nil"/>
            </w:tcBorders>
            <w:noWrap/>
            <w:vAlign w:val="bottom"/>
          </w:tcPr>
          <w:p w:rsidR="00031031" w:rsidRPr="00396E3F" w:rsidRDefault="00031031" w:rsidP="00396E3F">
            <w:pPr>
              <w:spacing w:after="0" w:line="240" w:lineRule="auto"/>
              <w:jc w:val="center"/>
              <w:rPr>
                <w:color w:val="000000"/>
              </w:rPr>
            </w:pPr>
            <w:r w:rsidRPr="00396E3F">
              <w:rPr>
                <w:color w:val="000000"/>
              </w:rPr>
              <w:t>41</w:t>
            </w:r>
          </w:p>
        </w:tc>
        <w:tc>
          <w:tcPr>
            <w:tcW w:w="1734" w:type="dxa"/>
            <w:tcBorders>
              <w:top w:val="nil"/>
              <w:left w:val="nil"/>
              <w:bottom w:val="single" w:sz="4" w:space="0" w:color="auto"/>
              <w:right w:val="nil"/>
            </w:tcBorders>
            <w:noWrap/>
            <w:vAlign w:val="bottom"/>
          </w:tcPr>
          <w:p w:rsidR="00031031" w:rsidRPr="00396E3F" w:rsidRDefault="00031031" w:rsidP="00396E3F">
            <w:pPr>
              <w:spacing w:after="0" w:line="240" w:lineRule="auto"/>
              <w:jc w:val="center"/>
              <w:rPr>
                <w:color w:val="000000"/>
              </w:rPr>
            </w:pPr>
            <w:r w:rsidRPr="00396E3F">
              <w:rPr>
                <w:color w:val="000000"/>
              </w:rPr>
              <w:t>20</w:t>
            </w:r>
          </w:p>
        </w:tc>
      </w:tr>
      <w:tr w:rsidR="00031031" w:rsidRPr="004113A4" w:rsidTr="00396E3F">
        <w:trPr>
          <w:trHeight w:val="570"/>
        </w:trPr>
        <w:tc>
          <w:tcPr>
            <w:tcW w:w="7400" w:type="dxa"/>
            <w:gridSpan w:val="4"/>
            <w:tcBorders>
              <w:top w:val="single" w:sz="4" w:space="0" w:color="auto"/>
              <w:left w:val="nil"/>
              <w:bottom w:val="nil"/>
              <w:right w:val="nil"/>
            </w:tcBorders>
            <w:vAlign w:val="bottom"/>
          </w:tcPr>
          <w:p w:rsidR="00031031" w:rsidRPr="00396E3F" w:rsidRDefault="00031031" w:rsidP="00396E3F">
            <w:pPr>
              <w:spacing w:after="0" w:line="240" w:lineRule="auto"/>
              <w:rPr>
                <w:color w:val="000000"/>
              </w:rPr>
            </w:pPr>
            <w:r w:rsidRPr="00396E3F">
              <w:rPr>
                <w:color w:val="000000"/>
              </w:rPr>
              <w:t>Note</w:t>
            </w:r>
            <w:r>
              <w:rPr>
                <w:color w:val="000000"/>
              </w:rPr>
              <w:t xml:space="preserve">: </w:t>
            </w:r>
            <w:r w:rsidRPr="00396E3F">
              <w:rPr>
                <w:color w:val="000000"/>
              </w:rPr>
              <w:t xml:space="preserve">Values have not been adjusted for taxes and subsidies on products and production. </w:t>
            </w:r>
          </w:p>
        </w:tc>
      </w:tr>
    </w:tbl>
    <w:p w:rsidR="00031031" w:rsidRDefault="00031031" w:rsidP="002F5404"/>
    <w:p w:rsidR="00031031" w:rsidRDefault="00031031" w:rsidP="002F5404">
      <w:r>
        <w:t xml:space="preserve">The second adjustment is to reclassify taxes and subsidies on products and production. A portion is classified as taxes on labour income, separately for compensation of employees and self-employment labour income, and as taxes on labour income capital income. Labour income and capital income are adjusted upward, setting them at the pre-tax level of income. Taxes and subsidies on products are allocated to consumption. Taxes and subsidies and production are allocated to compensation of employees, self-employment labour income and capital income in proportion to the income of each productive factor using gross capital income of corporations and households as discussed above. The result is shown in table 4.8. </w:t>
      </w:r>
    </w:p>
    <w:p w:rsidR="00031031" w:rsidRDefault="00031031" w:rsidP="00CA30C0">
      <w:r>
        <w:t xml:space="preserve">NTA compensation of employees is calculated as the SNA value of 1,154 plus taxes less subsidies on production (41) giving a total of 1,195 as shown in table 4.6 above. NTA self-employment labour income is equal to labour income’s share of mixed income (41) plus taxes less subsidies on self-employment income (1) giving a total value of 42. </w:t>
      </w:r>
    </w:p>
    <w:p w:rsidR="00031031" w:rsidRDefault="00031031">
      <w:r>
        <w:br w:type="page"/>
      </w:r>
    </w:p>
    <w:p w:rsidR="00031031" w:rsidRDefault="00031031" w:rsidP="002F5404"/>
    <w:tbl>
      <w:tblPr>
        <w:tblW w:w="8720" w:type="dxa"/>
        <w:tblInd w:w="93" w:type="dxa"/>
        <w:tblLook w:val="00A0"/>
      </w:tblPr>
      <w:tblGrid>
        <w:gridCol w:w="2749"/>
        <w:gridCol w:w="669"/>
        <w:gridCol w:w="1663"/>
        <w:gridCol w:w="1596"/>
        <w:gridCol w:w="1027"/>
        <w:gridCol w:w="1126"/>
      </w:tblGrid>
      <w:tr w:rsidR="00031031" w:rsidRPr="004113A4" w:rsidTr="00396E3F">
        <w:trPr>
          <w:trHeight w:val="300"/>
        </w:trPr>
        <w:tc>
          <w:tcPr>
            <w:tcW w:w="8720" w:type="dxa"/>
            <w:gridSpan w:val="6"/>
            <w:tcBorders>
              <w:top w:val="nil"/>
              <w:left w:val="nil"/>
              <w:bottom w:val="single" w:sz="4" w:space="0" w:color="auto"/>
              <w:right w:val="nil"/>
            </w:tcBorders>
            <w:noWrap/>
            <w:vAlign w:val="bottom"/>
          </w:tcPr>
          <w:p w:rsidR="00031031" w:rsidRPr="00396E3F" w:rsidRDefault="00031031" w:rsidP="00396E3F">
            <w:pPr>
              <w:spacing w:after="0" w:line="240" w:lineRule="auto"/>
              <w:rPr>
                <w:color w:val="000000"/>
              </w:rPr>
            </w:pPr>
            <w:r w:rsidRPr="00396E3F">
              <w:rPr>
                <w:color w:val="000000"/>
              </w:rPr>
              <w:t>Table 4.8</w:t>
            </w:r>
            <w:r>
              <w:rPr>
                <w:color w:val="000000"/>
              </w:rPr>
              <w:t>.</w:t>
            </w:r>
            <w:r w:rsidRPr="00396E3F">
              <w:rPr>
                <w:color w:val="000000"/>
              </w:rPr>
              <w:t xml:space="preserve"> Allocation of taxes and subsidies on products and produ</w:t>
            </w:r>
            <w:r>
              <w:rPr>
                <w:color w:val="000000"/>
              </w:rPr>
              <w:t>c</w:t>
            </w:r>
            <w:r w:rsidRPr="00396E3F">
              <w:rPr>
                <w:color w:val="000000"/>
              </w:rPr>
              <w:t>tion</w:t>
            </w:r>
          </w:p>
        </w:tc>
      </w:tr>
      <w:tr w:rsidR="00031031" w:rsidRPr="004113A4" w:rsidTr="00396E3F">
        <w:trPr>
          <w:trHeight w:val="300"/>
        </w:trPr>
        <w:tc>
          <w:tcPr>
            <w:tcW w:w="2749" w:type="dxa"/>
            <w:vMerge w:val="restart"/>
            <w:tcBorders>
              <w:top w:val="nil"/>
              <w:left w:val="nil"/>
              <w:bottom w:val="single" w:sz="4" w:space="0" w:color="000000"/>
              <w:right w:val="nil"/>
            </w:tcBorders>
            <w:noWrap/>
            <w:vAlign w:val="bottom"/>
          </w:tcPr>
          <w:p w:rsidR="00031031" w:rsidRPr="00396E3F" w:rsidRDefault="00031031" w:rsidP="00396E3F">
            <w:pPr>
              <w:spacing w:after="0" w:line="240" w:lineRule="auto"/>
              <w:jc w:val="center"/>
              <w:rPr>
                <w:color w:val="000000"/>
              </w:rPr>
            </w:pPr>
            <w:r w:rsidRPr="00396E3F">
              <w:rPr>
                <w:color w:val="000000"/>
              </w:rPr>
              <w:t> </w:t>
            </w:r>
          </w:p>
        </w:tc>
        <w:tc>
          <w:tcPr>
            <w:tcW w:w="560" w:type="dxa"/>
            <w:vMerge w:val="restart"/>
            <w:tcBorders>
              <w:top w:val="nil"/>
              <w:left w:val="nil"/>
              <w:bottom w:val="single" w:sz="4" w:space="0" w:color="000000"/>
              <w:right w:val="nil"/>
            </w:tcBorders>
            <w:noWrap/>
            <w:vAlign w:val="bottom"/>
          </w:tcPr>
          <w:p w:rsidR="00031031" w:rsidRPr="00396E3F" w:rsidRDefault="00031031" w:rsidP="00396E3F">
            <w:pPr>
              <w:spacing w:after="0" w:line="240" w:lineRule="auto"/>
              <w:jc w:val="center"/>
              <w:rPr>
                <w:color w:val="000000"/>
              </w:rPr>
            </w:pPr>
            <w:r w:rsidRPr="00396E3F">
              <w:rPr>
                <w:color w:val="000000"/>
              </w:rPr>
              <w:t>Total</w:t>
            </w:r>
          </w:p>
        </w:tc>
        <w:tc>
          <w:tcPr>
            <w:tcW w:w="1663" w:type="dxa"/>
            <w:vMerge w:val="restart"/>
            <w:tcBorders>
              <w:top w:val="nil"/>
              <w:left w:val="nil"/>
              <w:bottom w:val="single" w:sz="4" w:space="0" w:color="000000"/>
              <w:right w:val="nil"/>
            </w:tcBorders>
            <w:vAlign w:val="bottom"/>
          </w:tcPr>
          <w:p w:rsidR="00031031" w:rsidRPr="00396E3F" w:rsidRDefault="00031031" w:rsidP="00396E3F">
            <w:pPr>
              <w:spacing w:after="0" w:line="240" w:lineRule="auto"/>
              <w:jc w:val="center"/>
              <w:rPr>
                <w:color w:val="000000"/>
              </w:rPr>
            </w:pPr>
            <w:r w:rsidRPr="00396E3F">
              <w:rPr>
                <w:color w:val="000000"/>
              </w:rPr>
              <w:t>Compensation of employees</w:t>
            </w:r>
          </w:p>
        </w:tc>
        <w:tc>
          <w:tcPr>
            <w:tcW w:w="1596" w:type="dxa"/>
            <w:vMerge w:val="restart"/>
            <w:tcBorders>
              <w:top w:val="nil"/>
              <w:left w:val="nil"/>
              <w:bottom w:val="single" w:sz="4" w:space="0" w:color="000000"/>
              <w:right w:val="nil"/>
            </w:tcBorders>
            <w:vAlign w:val="bottom"/>
          </w:tcPr>
          <w:p w:rsidR="00031031" w:rsidRPr="00396E3F" w:rsidRDefault="00031031" w:rsidP="00396E3F">
            <w:pPr>
              <w:spacing w:after="0" w:line="240" w:lineRule="auto"/>
              <w:jc w:val="center"/>
              <w:rPr>
                <w:color w:val="000000"/>
              </w:rPr>
            </w:pPr>
            <w:r w:rsidRPr="00396E3F">
              <w:rPr>
                <w:color w:val="000000"/>
              </w:rPr>
              <w:t xml:space="preserve">Self-employment </w:t>
            </w:r>
            <w:r>
              <w:rPr>
                <w:color w:val="000000"/>
              </w:rPr>
              <w:t>labour</w:t>
            </w:r>
            <w:r w:rsidRPr="00396E3F">
              <w:rPr>
                <w:color w:val="000000"/>
              </w:rPr>
              <w:t xml:space="preserve"> income</w:t>
            </w:r>
          </w:p>
        </w:tc>
        <w:tc>
          <w:tcPr>
            <w:tcW w:w="1027" w:type="dxa"/>
            <w:vMerge w:val="restart"/>
            <w:tcBorders>
              <w:top w:val="nil"/>
              <w:left w:val="nil"/>
              <w:bottom w:val="single" w:sz="4" w:space="0" w:color="000000"/>
              <w:right w:val="nil"/>
            </w:tcBorders>
            <w:vAlign w:val="bottom"/>
          </w:tcPr>
          <w:p w:rsidR="00031031" w:rsidRPr="00396E3F" w:rsidRDefault="00031031" w:rsidP="00396E3F">
            <w:pPr>
              <w:spacing w:after="0" w:line="240" w:lineRule="auto"/>
              <w:jc w:val="center"/>
              <w:rPr>
                <w:color w:val="000000"/>
              </w:rPr>
            </w:pPr>
            <w:r w:rsidRPr="00396E3F">
              <w:rPr>
                <w:color w:val="000000"/>
              </w:rPr>
              <w:t>Capital income</w:t>
            </w:r>
          </w:p>
        </w:tc>
        <w:tc>
          <w:tcPr>
            <w:tcW w:w="1125" w:type="dxa"/>
            <w:vMerge w:val="restart"/>
            <w:tcBorders>
              <w:top w:val="nil"/>
              <w:left w:val="nil"/>
              <w:bottom w:val="single" w:sz="4" w:space="0" w:color="000000"/>
              <w:right w:val="nil"/>
            </w:tcBorders>
            <w:vAlign w:val="bottom"/>
          </w:tcPr>
          <w:p w:rsidR="00031031" w:rsidRPr="00396E3F" w:rsidRDefault="00031031" w:rsidP="00396E3F">
            <w:pPr>
              <w:spacing w:after="0" w:line="240" w:lineRule="auto"/>
              <w:jc w:val="center"/>
              <w:rPr>
                <w:color w:val="000000"/>
              </w:rPr>
            </w:pPr>
            <w:r w:rsidRPr="00396E3F">
              <w:rPr>
                <w:color w:val="000000"/>
              </w:rPr>
              <w:t>Consump-tion</w:t>
            </w:r>
          </w:p>
        </w:tc>
      </w:tr>
      <w:tr w:rsidR="00031031" w:rsidRPr="004113A4" w:rsidTr="00396E3F">
        <w:trPr>
          <w:trHeight w:val="300"/>
        </w:trPr>
        <w:tc>
          <w:tcPr>
            <w:tcW w:w="2749" w:type="dxa"/>
            <w:vMerge/>
            <w:tcBorders>
              <w:top w:val="nil"/>
              <w:left w:val="nil"/>
              <w:bottom w:val="single" w:sz="4" w:space="0" w:color="000000"/>
              <w:right w:val="nil"/>
            </w:tcBorders>
            <w:vAlign w:val="center"/>
          </w:tcPr>
          <w:p w:rsidR="00031031" w:rsidRPr="00396E3F" w:rsidRDefault="00031031" w:rsidP="00396E3F">
            <w:pPr>
              <w:spacing w:after="0" w:line="240" w:lineRule="auto"/>
              <w:rPr>
                <w:color w:val="000000"/>
              </w:rPr>
            </w:pPr>
          </w:p>
        </w:tc>
        <w:tc>
          <w:tcPr>
            <w:tcW w:w="560" w:type="dxa"/>
            <w:vMerge/>
            <w:tcBorders>
              <w:top w:val="nil"/>
              <w:left w:val="nil"/>
              <w:bottom w:val="single" w:sz="4" w:space="0" w:color="000000"/>
              <w:right w:val="nil"/>
            </w:tcBorders>
            <w:vAlign w:val="center"/>
          </w:tcPr>
          <w:p w:rsidR="00031031" w:rsidRPr="00396E3F" w:rsidRDefault="00031031" w:rsidP="00396E3F">
            <w:pPr>
              <w:spacing w:after="0" w:line="240" w:lineRule="auto"/>
              <w:rPr>
                <w:color w:val="000000"/>
              </w:rPr>
            </w:pPr>
          </w:p>
        </w:tc>
        <w:tc>
          <w:tcPr>
            <w:tcW w:w="1663" w:type="dxa"/>
            <w:vMerge/>
            <w:tcBorders>
              <w:top w:val="nil"/>
              <w:left w:val="nil"/>
              <w:bottom w:val="single" w:sz="4" w:space="0" w:color="000000"/>
              <w:right w:val="nil"/>
            </w:tcBorders>
            <w:vAlign w:val="center"/>
          </w:tcPr>
          <w:p w:rsidR="00031031" w:rsidRPr="00396E3F" w:rsidRDefault="00031031" w:rsidP="00396E3F">
            <w:pPr>
              <w:spacing w:after="0" w:line="240" w:lineRule="auto"/>
              <w:rPr>
                <w:color w:val="000000"/>
              </w:rPr>
            </w:pPr>
          </w:p>
        </w:tc>
        <w:tc>
          <w:tcPr>
            <w:tcW w:w="1596" w:type="dxa"/>
            <w:vMerge/>
            <w:tcBorders>
              <w:top w:val="nil"/>
              <w:left w:val="nil"/>
              <w:bottom w:val="single" w:sz="4" w:space="0" w:color="000000"/>
              <w:right w:val="nil"/>
            </w:tcBorders>
            <w:vAlign w:val="center"/>
          </w:tcPr>
          <w:p w:rsidR="00031031" w:rsidRPr="00396E3F" w:rsidRDefault="00031031" w:rsidP="00396E3F">
            <w:pPr>
              <w:spacing w:after="0" w:line="240" w:lineRule="auto"/>
              <w:rPr>
                <w:color w:val="000000"/>
              </w:rPr>
            </w:pPr>
          </w:p>
        </w:tc>
        <w:tc>
          <w:tcPr>
            <w:tcW w:w="1027" w:type="dxa"/>
            <w:vMerge/>
            <w:tcBorders>
              <w:top w:val="nil"/>
              <w:left w:val="nil"/>
              <w:bottom w:val="single" w:sz="4" w:space="0" w:color="000000"/>
              <w:right w:val="nil"/>
            </w:tcBorders>
            <w:vAlign w:val="center"/>
          </w:tcPr>
          <w:p w:rsidR="00031031" w:rsidRPr="00396E3F" w:rsidRDefault="00031031" w:rsidP="00396E3F">
            <w:pPr>
              <w:spacing w:after="0" w:line="240" w:lineRule="auto"/>
              <w:rPr>
                <w:color w:val="000000"/>
              </w:rPr>
            </w:pPr>
          </w:p>
        </w:tc>
        <w:tc>
          <w:tcPr>
            <w:tcW w:w="1125" w:type="dxa"/>
            <w:vMerge/>
            <w:tcBorders>
              <w:top w:val="nil"/>
              <w:left w:val="nil"/>
              <w:bottom w:val="single" w:sz="4" w:space="0" w:color="000000"/>
              <w:right w:val="nil"/>
            </w:tcBorders>
            <w:vAlign w:val="center"/>
          </w:tcPr>
          <w:p w:rsidR="00031031" w:rsidRPr="00396E3F" w:rsidRDefault="00031031" w:rsidP="00396E3F">
            <w:pPr>
              <w:spacing w:after="0" w:line="240" w:lineRule="auto"/>
              <w:rPr>
                <w:color w:val="000000"/>
              </w:rPr>
            </w:pPr>
          </w:p>
        </w:tc>
      </w:tr>
      <w:tr w:rsidR="00031031" w:rsidRPr="004113A4" w:rsidTr="00396E3F">
        <w:trPr>
          <w:trHeight w:val="300"/>
        </w:trPr>
        <w:tc>
          <w:tcPr>
            <w:tcW w:w="2749" w:type="dxa"/>
            <w:tcBorders>
              <w:top w:val="nil"/>
              <w:left w:val="nil"/>
              <w:bottom w:val="nil"/>
              <w:right w:val="nil"/>
            </w:tcBorders>
            <w:noWrap/>
            <w:vAlign w:val="bottom"/>
          </w:tcPr>
          <w:p w:rsidR="00031031" w:rsidRPr="00396E3F" w:rsidRDefault="00031031" w:rsidP="00396E3F">
            <w:pPr>
              <w:spacing w:after="0" w:line="240" w:lineRule="auto"/>
              <w:rPr>
                <w:color w:val="000000"/>
              </w:rPr>
            </w:pPr>
            <w:r w:rsidRPr="00396E3F">
              <w:rPr>
                <w:color w:val="000000"/>
              </w:rPr>
              <w:t>Taxes on products</w:t>
            </w:r>
          </w:p>
        </w:tc>
        <w:tc>
          <w:tcPr>
            <w:tcW w:w="560"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sidRPr="00396E3F">
              <w:rPr>
                <w:color w:val="000000"/>
              </w:rPr>
              <w:t>141</w:t>
            </w:r>
          </w:p>
        </w:tc>
        <w:tc>
          <w:tcPr>
            <w:tcW w:w="1663"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1596"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1027"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1125"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sidRPr="00396E3F">
              <w:rPr>
                <w:color w:val="000000"/>
              </w:rPr>
              <w:t>141</w:t>
            </w:r>
          </w:p>
        </w:tc>
      </w:tr>
      <w:tr w:rsidR="00031031" w:rsidRPr="004113A4" w:rsidTr="00396E3F">
        <w:trPr>
          <w:trHeight w:val="315"/>
        </w:trPr>
        <w:tc>
          <w:tcPr>
            <w:tcW w:w="2749" w:type="dxa"/>
            <w:tcBorders>
              <w:top w:val="nil"/>
              <w:left w:val="nil"/>
              <w:bottom w:val="nil"/>
              <w:right w:val="nil"/>
            </w:tcBorders>
            <w:noWrap/>
            <w:vAlign w:val="bottom"/>
          </w:tcPr>
          <w:p w:rsidR="00031031" w:rsidRPr="00396E3F" w:rsidRDefault="00031031" w:rsidP="00396E3F">
            <w:pPr>
              <w:spacing w:after="0" w:line="240" w:lineRule="auto"/>
              <w:rPr>
                <w:color w:val="000000"/>
              </w:rPr>
            </w:pPr>
            <w:r w:rsidRPr="00396E3F">
              <w:rPr>
                <w:color w:val="000000"/>
              </w:rPr>
              <w:t>Subsidies on products</w:t>
            </w:r>
          </w:p>
        </w:tc>
        <w:tc>
          <w:tcPr>
            <w:tcW w:w="560"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Pr>
                <w:color w:val="000000"/>
              </w:rPr>
              <w:t>–</w:t>
            </w:r>
            <w:r w:rsidRPr="00396E3F">
              <w:rPr>
                <w:color w:val="000000"/>
              </w:rPr>
              <w:t>8</w:t>
            </w:r>
          </w:p>
        </w:tc>
        <w:tc>
          <w:tcPr>
            <w:tcW w:w="1663"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1596"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1027"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1125"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Pr>
                <w:color w:val="000000"/>
              </w:rPr>
              <w:t>–</w:t>
            </w:r>
            <w:r w:rsidRPr="00396E3F">
              <w:rPr>
                <w:color w:val="000000"/>
              </w:rPr>
              <w:t>8</w:t>
            </w:r>
          </w:p>
        </w:tc>
      </w:tr>
      <w:tr w:rsidR="00031031" w:rsidRPr="004113A4" w:rsidTr="00396E3F">
        <w:trPr>
          <w:trHeight w:val="330"/>
        </w:trPr>
        <w:tc>
          <w:tcPr>
            <w:tcW w:w="2749"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560"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1663"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1596"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1027"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c>
          <w:tcPr>
            <w:tcW w:w="1125"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r>
      <w:tr w:rsidR="00031031" w:rsidRPr="004113A4" w:rsidTr="00396E3F">
        <w:trPr>
          <w:trHeight w:val="315"/>
        </w:trPr>
        <w:tc>
          <w:tcPr>
            <w:tcW w:w="2749" w:type="dxa"/>
            <w:tcBorders>
              <w:top w:val="nil"/>
              <w:left w:val="nil"/>
              <w:bottom w:val="nil"/>
              <w:right w:val="nil"/>
            </w:tcBorders>
            <w:noWrap/>
            <w:vAlign w:val="bottom"/>
          </w:tcPr>
          <w:p w:rsidR="00031031" w:rsidRPr="00396E3F" w:rsidRDefault="00031031" w:rsidP="00396E3F">
            <w:pPr>
              <w:spacing w:after="0" w:line="240" w:lineRule="auto"/>
              <w:rPr>
                <w:color w:val="000000"/>
              </w:rPr>
            </w:pPr>
            <w:r w:rsidRPr="00396E3F">
              <w:rPr>
                <w:color w:val="000000"/>
              </w:rPr>
              <w:t>Taxes on production</w:t>
            </w:r>
            <w:r>
              <w:rPr>
                <w:color w:val="000000"/>
              </w:rPr>
              <w:t xml:space="preserve"> </w:t>
            </w:r>
          </w:p>
        </w:tc>
        <w:tc>
          <w:tcPr>
            <w:tcW w:w="560"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sidRPr="00396E3F">
              <w:rPr>
                <w:color w:val="000000"/>
              </w:rPr>
              <w:t>94</w:t>
            </w:r>
          </w:p>
        </w:tc>
        <w:tc>
          <w:tcPr>
            <w:tcW w:w="1663"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sidRPr="00396E3F">
              <w:rPr>
                <w:color w:val="000000"/>
              </w:rPr>
              <w:t>66</w:t>
            </w:r>
          </w:p>
        </w:tc>
        <w:tc>
          <w:tcPr>
            <w:tcW w:w="1596"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sidRPr="00396E3F">
              <w:rPr>
                <w:color w:val="000000"/>
              </w:rPr>
              <w:t>2</w:t>
            </w:r>
          </w:p>
        </w:tc>
        <w:tc>
          <w:tcPr>
            <w:tcW w:w="1027"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sidRPr="00396E3F">
              <w:rPr>
                <w:color w:val="000000"/>
              </w:rPr>
              <w:t>26</w:t>
            </w:r>
          </w:p>
        </w:tc>
        <w:tc>
          <w:tcPr>
            <w:tcW w:w="1125" w:type="dxa"/>
            <w:tcBorders>
              <w:top w:val="nil"/>
              <w:left w:val="nil"/>
              <w:bottom w:val="nil"/>
              <w:right w:val="nil"/>
            </w:tcBorders>
            <w:noWrap/>
            <w:vAlign w:val="bottom"/>
          </w:tcPr>
          <w:p w:rsidR="00031031" w:rsidRPr="00396E3F" w:rsidRDefault="00031031" w:rsidP="00396E3F">
            <w:pPr>
              <w:spacing w:after="0" w:line="240" w:lineRule="auto"/>
              <w:rPr>
                <w:color w:val="000000"/>
              </w:rPr>
            </w:pPr>
          </w:p>
        </w:tc>
      </w:tr>
      <w:tr w:rsidR="00031031" w:rsidRPr="004113A4" w:rsidTr="00396E3F">
        <w:trPr>
          <w:trHeight w:val="300"/>
        </w:trPr>
        <w:tc>
          <w:tcPr>
            <w:tcW w:w="2749" w:type="dxa"/>
            <w:tcBorders>
              <w:top w:val="nil"/>
              <w:left w:val="nil"/>
              <w:bottom w:val="single" w:sz="4" w:space="0" w:color="auto"/>
              <w:right w:val="nil"/>
            </w:tcBorders>
            <w:noWrap/>
            <w:vAlign w:val="bottom"/>
          </w:tcPr>
          <w:p w:rsidR="00031031" w:rsidRPr="00396E3F" w:rsidRDefault="00031031" w:rsidP="00396E3F">
            <w:pPr>
              <w:spacing w:after="0" w:line="240" w:lineRule="auto"/>
              <w:rPr>
                <w:color w:val="000000"/>
              </w:rPr>
            </w:pPr>
            <w:r w:rsidRPr="00396E3F">
              <w:rPr>
                <w:color w:val="000000"/>
              </w:rPr>
              <w:t>Subsidies on production</w:t>
            </w:r>
          </w:p>
        </w:tc>
        <w:tc>
          <w:tcPr>
            <w:tcW w:w="560" w:type="dxa"/>
            <w:tcBorders>
              <w:top w:val="nil"/>
              <w:left w:val="nil"/>
              <w:bottom w:val="single" w:sz="4" w:space="0" w:color="auto"/>
              <w:right w:val="nil"/>
            </w:tcBorders>
            <w:noWrap/>
            <w:vAlign w:val="bottom"/>
          </w:tcPr>
          <w:p w:rsidR="00031031" w:rsidRPr="00396E3F" w:rsidRDefault="00031031" w:rsidP="00396E3F">
            <w:pPr>
              <w:spacing w:after="0" w:line="240" w:lineRule="auto"/>
              <w:jc w:val="right"/>
              <w:rPr>
                <w:color w:val="000000"/>
              </w:rPr>
            </w:pPr>
            <w:r>
              <w:rPr>
                <w:color w:val="000000"/>
              </w:rPr>
              <w:t>–</w:t>
            </w:r>
            <w:r w:rsidRPr="00396E3F">
              <w:rPr>
                <w:color w:val="000000"/>
              </w:rPr>
              <w:t>36</w:t>
            </w:r>
          </w:p>
        </w:tc>
        <w:tc>
          <w:tcPr>
            <w:tcW w:w="1663"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Pr>
                <w:color w:val="000000"/>
              </w:rPr>
              <w:t>–</w:t>
            </w:r>
            <w:r w:rsidRPr="00396E3F">
              <w:rPr>
                <w:color w:val="000000"/>
              </w:rPr>
              <w:t>25</w:t>
            </w:r>
          </w:p>
        </w:tc>
        <w:tc>
          <w:tcPr>
            <w:tcW w:w="1596"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Pr>
                <w:color w:val="000000"/>
              </w:rPr>
              <w:t>–</w:t>
            </w:r>
            <w:r w:rsidRPr="00396E3F">
              <w:rPr>
                <w:color w:val="000000"/>
              </w:rPr>
              <w:t>1</w:t>
            </w:r>
          </w:p>
        </w:tc>
        <w:tc>
          <w:tcPr>
            <w:tcW w:w="1027" w:type="dxa"/>
            <w:tcBorders>
              <w:top w:val="nil"/>
              <w:left w:val="nil"/>
              <w:bottom w:val="nil"/>
              <w:right w:val="nil"/>
            </w:tcBorders>
            <w:noWrap/>
            <w:vAlign w:val="bottom"/>
          </w:tcPr>
          <w:p w:rsidR="00031031" w:rsidRPr="00396E3F" w:rsidRDefault="00031031" w:rsidP="00396E3F">
            <w:pPr>
              <w:spacing w:after="0" w:line="240" w:lineRule="auto"/>
              <w:jc w:val="right"/>
              <w:rPr>
                <w:color w:val="000000"/>
              </w:rPr>
            </w:pPr>
            <w:r>
              <w:rPr>
                <w:color w:val="000000"/>
              </w:rPr>
              <w:t>–</w:t>
            </w:r>
            <w:r w:rsidRPr="00396E3F">
              <w:rPr>
                <w:color w:val="000000"/>
              </w:rPr>
              <w:t>10</w:t>
            </w:r>
          </w:p>
        </w:tc>
        <w:tc>
          <w:tcPr>
            <w:tcW w:w="1125" w:type="dxa"/>
            <w:tcBorders>
              <w:top w:val="nil"/>
              <w:left w:val="nil"/>
              <w:bottom w:val="single" w:sz="4" w:space="0" w:color="auto"/>
              <w:right w:val="nil"/>
            </w:tcBorders>
            <w:noWrap/>
            <w:vAlign w:val="bottom"/>
          </w:tcPr>
          <w:p w:rsidR="00031031" w:rsidRPr="00396E3F" w:rsidRDefault="00031031" w:rsidP="00396E3F">
            <w:pPr>
              <w:spacing w:after="0" w:line="240" w:lineRule="auto"/>
              <w:rPr>
                <w:color w:val="000000"/>
              </w:rPr>
            </w:pPr>
            <w:r w:rsidRPr="00396E3F">
              <w:rPr>
                <w:color w:val="000000"/>
              </w:rPr>
              <w:t> </w:t>
            </w:r>
          </w:p>
        </w:tc>
      </w:tr>
      <w:tr w:rsidR="00031031" w:rsidRPr="004113A4" w:rsidTr="00396E3F">
        <w:trPr>
          <w:trHeight w:val="300"/>
        </w:trPr>
        <w:tc>
          <w:tcPr>
            <w:tcW w:w="2749" w:type="dxa"/>
            <w:tcBorders>
              <w:top w:val="nil"/>
              <w:left w:val="nil"/>
              <w:bottom w:val="single" w:sz="4" w:space="0" w:color="auto"/>
              <w:right w:val="nil"/>
            </w:tcBorders>
            <w:vAlign w:val="bottom"/>
          </w:tcPr>
          <w:p w:rsidR="00031031" w:rsidRPr="00396E3F" w:rsidRDefault="00031031" w:rsidP="00396E3F">
            <w:pPr>
              <w:spacing w:after="0" w:line="240" w:lineRule="auto"/>
              <w:rPr>
                <w:color w:val="000000"/>
              </w:rPr>
            </w:pPr>
            <w:r w:rsidRPr="00396E3F">
              <w:rPr>
                <w:color w:val="000000"/>
              </w:rPr>
              <w:t>Total</w:t>
            </w:r>
          </w:p>
        </w:tc>
        <w:tc>
          <w:tcPr>
            <w:tcW w:w="560" w:type="dxa"/>
            <w:tcBorders>
              <w:top w:val="nil"/>
              <w:left w:val="nil"/>
              <w:bottom w:val="single" w:sz="4" w:space="0" w:color="auto"/>
              <w:right w:val="nil"/>
            </w:tcBorders>
            <w:noWrap/>
            <w:vAlign w:val="bottom"/>
          </w:tcPr>
          <w:p w:rsidR="00031031" w:rsidRPr="00396E3F" w:rsidRDefault="00031031" w:rsidP="00396E3F">
            <w:pPr>
              <w:spacing w:after="0" w:line="240" w:lineRule="auto"/>
              <w:jc w:val="right"/>
              <w:rPr>
                <w:color w:val="000000"/>
              </w:rPr>
            </w:pPr>
            <w:r w:rsidRPr="00396E3F">
              <w:rPr>
                <w:color w:val="000000"/>
              </w:rPr>
              <w:t>191</w:t>
            </w:r>
          </w:p>
        </w:tc>
        <w:tc>
          <w:tcPr>
            <w:tcW w:w="1663" w:type="dxa"/>
            <w:tcBorders>
              <w:top w:val="single" w:sz="4" w:space="0" w:color="auto"/>
              <w:left w:val="nil"/>
              <w:bottom w:val="single" w:sz="4" w:space="0" w:color="auto"/>
              <w:right w:val="nil"/>
            </w:tcBorders>
            <w:noWrap/>
            <w:vAlign w:val="bottom"/>
          </w:tcPr>
          <w:p w:rsidR="00031031" w:rsidRPr="00396E3F" w:rsidRDefault="00031031" w:rsidP="00396E3F">
            <w:pPr>
              <w:spacing w:after="0" w:line="240" w:lineRule="auto"/>
              <w:jc w:val="right"/>
              <w:rPr>
                <w:color w:val="000000"/>
              </w:rPr>
            </w:pPr>
            <w:r w:rsidRPr="00396E3F">
              <w:rPr>
                <w:color w:val="000000"/>
              </w:rPr>
              <w:t>41</w:t>
            </w:r>
          </w:p>
        </w:tc>
        <w:tc>
          <w:tcPr>
            <w:tcW w:w="1596" w:type="dxa"/>
            <w:tcBorders>
              <w:top w:val="single" w:sz="4" w:space="0" w:color="auto"/>
              <w:left w:val="nil"/>
              <w:bottom w:val="single" w:sz="4" w:space="0" w:color="auto"/>
              <w:right w:val="nil"/>
            </w:tcBorders>
            <w:noWrap/>
            <w:vAlign w:val="bottom"/>
          </w:tcPr>
          <w:p w:rsidR="00031031" w:rsidRPr="00396E3F" w:rsidRDefault="00031031" w:rsidP="00396E3F">
            <w:pPr>
              <w:spacing w:after="0" w:line="240" w:lineRule="auto"/>
              <w:jc w:val="right"/>
              <w:rPr>
                <w:color w:val="000000"/>
              </w:rPr>
            </w:pPr>
            <w:r w:rsidRPr="00396E3F">
              <w:rPr>
                <w:color w:val="000000"/>
              </w:rPr>
              <w:t>1</w:t>
            </w:r>
          </w:p>
        </w:tc>
        <w:tc>
          <w:tcPr>
            <w:tcW w:w="1027" w:type="dxa"/>
            <w:tcBorders>
              <w:top w:val="single" w:sz="4" w:space="0" w:color="auto"/>
              <w:left w:val="nil"/>
              <w:bottom w:val="single" w:sz="4" w:space="0" w:color="auto"/>
              <w:right w:val="nil"/>
            </w:tcBorders>
            <w:noWrap/>
            <w:vAlign w:val="bottom"/>
          </w:tcPr>
          <w:p w:rsidR="00031031" w:rsidRPr="00396E3F" w:rsidRDefault="00031031" w:rsidP="00396E3F">
            <w:pPr>
              <w:spacing w:after="0" w:line="240" w:lineRule="auto"/>
              <w:jc w:val="right"/>
              <w:rPr>
                <w:color w:val="000000"/>
              </w:rPr>
            </w:pPr>
            <w:r w:rsidRPr="00396E3F">
              <w:rPr>
                <w:color w:val="000000"/>
              </w:rPr>
              <w:t>16</w:t>
            </w:r>
          </w:p>
        </w:tc>
        <w:tc>
          <w:tcPr>
            <w:tcW w:w="1125" w:type="dxa"/>
            <w:tcBorders>
              <w:top w:val="nil"/>
              <w:left w:val="nil"/>
              <w:bottom w:val="single" w:sz="4" w:space="0" w:color="auto"/>
              <w:right w:val="nil"/>
            </w:tcBorders>
            <w:noWrap/>
            <w:vAlign w:val="bottom"/>
          </w:tcPr>
          <w:p w:rsidR="00031031" w:rsidRPr="00396E3F" w:rsidRDefault="00031031" w:rsidP="00396E3F">
            <w:pPr>
              <w:spacing w:after="0" w:line="240" w:lineRule="auto"/>
              <w:jc w:val="right"/>
              <w:rPr>
                <w:color w:val="000000"/>
              </w:rPr>
            </w:pPr>
            <w:r w:rsidRPr="00396E3F">
              <w:rPr>
                <w:color w:val="000000"/>
              </w:rPr>
              <w:t>133</w:t>
            </w:r>
          </w:p>
        </w:tc>
      </w:tr>
      <w:tr w:rsidR="00031031" w:rsidRPr="004113A4" w:rsidTr="00396E3F">
        <w:trPr>
          <w:trHeight w:val="300"/>
        </w:trPr>
        <w:tc>
          <w:tcPr>
            <w:tcW w:w="8720" w:type="dxa"/>
            <w:gridSpan w:val="6"/>
            <w:tcBorders>
              <w:top w:val="nil"/>
              <w:left w:val="nil"/>
              <w:bottom w:val="nil"/>
              <w:right w:val="nil"/>
            </w:tcBorders>
            <w:noWrap/>
            <w:vAlign w:val="bottom"/>
          </w:tcPr>
          <w:p w:rsidR="00031031" w:rsidRPr="00396E3F" w:rsidRDefault="00031031" w:rsidP="00396E3F">
            <w:pPr>
              <w:spacing w:after="0" w:line="240" w:lineRule="auto"/>
              <w:rPr>
                <w:color w:val="000000"/>
              </w:rPr>
            </w:pPr>
            <w:r w:rsidRPr="00396E3F">
              <w:rPr>
                <w:color w:val="000000"/>
              </w:rPr>
              <w:t>Note:</w:t>
            </w:r>
            <w:r>
              <w:rPr>
                <w:color w:val="000000"/>
              </w:rPr>
              <w:t xml:space="preserve"> </w:t>
            </w:r>
            <w:r w:rsidRPr="00396E3F">
              <w:rPr>
                <w:color w:val="000000"/>
              </w:rPr>
              <w:t xml:space="preserve">Taxes and subsidies on production assumed to be assessed only on </w:t>
            </w:r>
            <w:r>
              <w:rPr>
                <w:color w:val="000000"/>
              </w:rPr>
              <w:t xml:space="preserve">the </w:t>
            </w:r>
            <w:r w:rsidRPr="00396E3F">
              <w:rPr>
                <w:color w:val="000000"/>
              </w:rPr>
              <w:t>private sector.</w:t>
            </w:r>
          </w:p>
        </w:tc>
      </w:tr>
    </w:tbl>
    <w:p w:rsidR="00031031" w:rsidRDefault="00031031" w:rsidP="002F5404"/>
    <w:p w:rsidR="00031031" w:rsidRDefault="00031031" w:rsidP="002F5404">
      <w:r>
        <w:t xml:space="preserve">Constructing NTA capital income involves several calculations shown in table 4.9. Capital share of mixed income and taxes less subsidies on capital income are added to the gross operating surplus of corporations to compute gross capital income. The components of capital income are also adjusted to include taxes on products and production less subsidies. They are allocated to capital income of corporations and NPISHs and to capital income from mixed income in proportion to the gross values of each component. None is allocated to the capital income from owner-occupied housing. Consumption of fixed capital is subtracted to calculate net capital income for each of the three components. </w:t>
      </w:r>
    </w:p>
    <w:tbl>
      <w:tblPr>
        <w:tblW w:w="6240" w:type="dxa"/>
        <w:tblInd w:w="93" w:type="dxa"/>
        <w:tblLook w:val="00A0"/>
      </w:tblPr>
      <w:tblGrid>
        <w:gridCol w:w="4824"/>
        <w:gridCol w:w="845"/>
        <w:gridCol w:w="755"/>
      </w:tblGrid>
      <w:tr w:rsidR="00031031" w:rsidRPr="004113A4" w:rsidTr="00D8644E">
        <w:trPr>
          <w:trHeight w:val="300"/>
        </w:trPr>
        <w:tc>
          <w:tcPr>
            <w:tcW w:w="6240" w:type="dxa"/>
            <w:gridSpan w:val="3"/>
            <w:tcBorders>
              <w:top w:val="nil"/>
              <w:left w:val="nil"/>
              <w:bottom w:val="single" w:sz="4" w:space="0" w:color="auto"/>
              <w:right w:val="nil"/>
            </w:tcBorders>
            <w:noWrap/>
            <w:vAlign w:val="bottom"/>
          </w:tcPr>
          <w:p w:rsidR="00031031" w:rsidRPr="00D8644E" w:rsidRDefault="00031031" w:rsidP="00D8644E">
            <w:pPr>
              <w:spacing w:after="0" w:line="240" w:lineRule="auto"/>
              <w:rPr>
                <w:color w:val="000000"/>
              </w:rPr>
            </w:pPr>
            <w:r w:rsidRPr="00D8644E">
              <w:rPr>
                <w:color w:val="000000"/>
              </w:rPr>
              <w:t>Table 4.9</w:t>
            </w:r>
            <w:r>
              <w:rPr>
                <w:color w:val="000000"/>
              </w:rPr>
              <w:t>.</w:t>
            </w:r>
            <w:r w:rsidRPr="00D8644E">
              <w:rPr>
                <w:color w:val="000000"/>
              </w:rPr>
              <w:t xml:space="preserve"> Calculation of capital income, net</w:t>
            </w:r>
          </w:p>
        </w:tc>
      </w:tr>
      <w:tr w:rsidR="00031031" w:rsidRPr="004113A4" w:rsidTr="00D8644E">
        <w:trPr>
          <w:trHeight w:val="300"/>
        </w:trPr>
        <w:tc>
          <w:tcPr>
            <w:tcW w:w="4824" w:type="dxa"/>
            <w:tcBorders>
              <w:top w:val="nil"/>
              <w:left w:val="nil"/>
              <w:bottom w:val="single" w:sz="4" w:space="0" w:color="auto"/>
              <w:right w:val="nil"/>
            </w:tcBorders>
            <w:noWrap/>
            <w:vAlign w:val="bottom"/>
          </w:tcPr>
          <w:p w:rsidR="00031031" w:rsidRPr="00D8644E" w:rsidRDefault="00031031" w:rsidP="00D8644E">
            <w:pPr>
              <w:spacing w:after="0" w:line="240" w:lineRule="auto"/>
              <w:rPr>
                <w:color w:val="000000"/>
              </w:rPr>
            </w:pPr>
            <w:r w:rsidRPr="00D8644E">
              <w:rPr>
                <w:color w:val="000000"/>
              </w:rPr>
              <w:t> </w:t>
            </w:r>
          </w:p>
        </w:tc>
        <w:tc>
          <w:tcPr>
            <w:tcW w:w="760" w:type="dxa"/>
            <w:tcBorders>
              <w:top w:val="nil"/>
              <w:left w:val="nil"/>
              <w:bottom w:val="single" w:sz="4" w:space="0" w:color="auto"/>
              <w:right w:val="nil"/>
            </w:tcBorders>
            <w:noWrap/>
            <w:vAlign w:val="bottom"/>
          </w:tcPr>
          <w:p w:rsidR="00031031" w:rsidRPr="00D8644E" w:rsidRDefault="00031031" w:rsidP="00D8644E">
            <w:pPr>
              <w:spacing w:after="0" w:line="240" w:lineRule="auto"/>
              <w:jc w:val="right"/>
              <w:rPr>
                <w:color w:val="000000"/>
              </w:rPr>
            </w:pPr>
            <w:r w:rsidRPr="00D8644E">
              <w:rPr>
                <w:color w:val="000000"/>
              </w:rPr>
              <w:t>Private</w:t>
            </w:r>
          </w:p>
        </w:tc>
        <w:tc>
          <w:tcPr>
            <w:tcW w:w="656" w:type="dxa"/>
            <w:tcBorders>
              <w:top w:val="nil"/>
              <w:left w:val="nil"/>
              <w:bottom w:val="single" w:sz="4" w:space="0" w:color="auto"/>
              <w:right w:val="nil"/>
            </w:tcBorders>
            <w:noWrap/>
            <w:vAlign w:val="bottom"/>
          </w:tcPr>
          <w:p w:rsidR="00031031" w:rsidRPr="00D8644E" w:rsidRDefault="00031031" w:rsidP="00D8644E">
            <w:pPr>
              <w:spacing w:after="0" w:line="240" w:lineRule="auto"/>
              <w:jc w:val="right"/>
              <w:rPr>
                <w:color w:val="000000"/>
              </w:rPr>
            </w:pPr>
            <w:r w:rsidRPr="00D8644E">
              <w:rPr>
                <w:color w:val="000000"/>
              </w:rPr>
              <w:t>Public</w:t>
            </w:r>
          </w:p>
        </w:tc>
      </w:tr>
      <w:tr w:rsidR="00031031" w:rsidRPr="004113A4" w:rsidTr="00D8644E">
        <w:trPr>
          <w:trHeight w:val="300"/>
        </w:trPr>
        <w:tc>
          <w:tcPr>
            <w:tcW w:w="4824" w:type="dxa"/>
            <w:tcBorders>
              <w:top w:val="nil"/>
              <w:left w:val="nil"/>
              <w:bottom w:val="nil"/>
              <w:right w:val="nil"/>
            </w:tcBorders>
            <w:noWrap/>
            <w:vAlign w:val="bottom"/>
          </w:tcPr>
          <w:p w:rsidR="00031031" w:rsidRPr="00D8644E" w:rsidRDefault="00031031" w:rsidP="00D8644E">
            <w:pPr>
              <w:spacing w:after="0" w:line="240" w:lineRule="auto"/>
              <w:rPr>
                <w:color w:val="000000"/>
              </w:rPr>
            </w:pPr>
            <w:r w:rsidRPr="00D8644E">
              <w:rPr>
                <w:color w:val="000000"/>
              </w:rPr>
              <w:t>Operating surplus, corporations, NPISHs, gross</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341</w:t>
            </w:r>
          </w:p>
        </w:tc>
        <w:tc>
          <w:tcPr>
            <w:tcW w:w="656"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27</w:t>
            </w:r>
          </w:p>
        </w:tc>
      </w:tr>
      <w:tr w:rsidR="00031031" w:rsidRPr="004113A4" w:rsidTr="00D8644E">
        <w:trPr>
          <w:trHeight w:val="300"/>
        </w:trPr>
        <w:tc>
          <w:tcPr>
            <w:tcW w:w="4824" w:type="dxa"/>
            <w:tcBorders>
              <w:top w:val="nil"/>
              <w:left w:val="nil"/>
              <w:bottom w:val="nil"/>
              <w:right w:val="nil"/>
            </w:tcBorders>
            <w:noWrap/>
            <w:vAlign w:val="bottom"/>
          </w:tcPr>
          <w:p w:rsidR="00031031" w:rsidRPr="00D8644E" w:rsidRDefault="00031031" w:rsidP="00D8644E">
            <w:pPr>
              <w:spacing w:after="0" w:line="240" w:lineRule="auto"/>
              <w:rPr>
                <w:color w:val="000000"/>
              </w:rPr>
            </w:pPr>
            <w:r w:rsidRPr="00D8644E">
              <w:rPr>
                <w:color w:val="000000"/>
              </w:rPr>
              <w:t>Operating surplus, gross, households</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84</w:t>
            </w:r>
          </w:p>
        </w:tc>
        <w:tc>
          <w:tcPr>
            <w:tcW w:w="656" w:type="dxa"/>
            <w:tcBorders>
              <w:top w:val="nil"/>
              <w:left w:val="nil"/>
              <w:bottom w:val="nil"/>
              <w:right w:val="nil"/>
            </w:tcBorders>
            <w:noWrap/>
            <w:vAlign w:val="bottom"/>
          </w:tcPr>
          <w:p w:rsidR="00031031" w:rsidRPr="00D8644E" w:rsidRDefault="00031031" w:rsidP="00D8644E">
            <w:pPr>
              <w:spacing w:after="0" w:line="240" w:lineRule="auto"/>
              <w:rPr>
                <w:color w:val="000000"/>
              </w:rPr>
            </w:pPr>
          </w:p>
        </w:tc>
      </w:tr>
      <w:tr w:rsidR="00031031" w:rsidRPr="004113A4" w:rsidTr="00D8644E">
        <w:trPr>
          <w:trHeight w:val="300"/>
        </w:trPr>
        <w:tc>
          <w:tcPr>
            <w:tcW w:w="4824" w:type="dxa"/>
            <w:tcBorders>
              <w:top w:val="nil"/>
              <w:left w:val="nil"/>
              <w:bottom w:val="nil"/>
              <w:right w:val="nil"/>
            </w:tcBorders>
            <w:noWrap/>
            <w:vAlign w:val="bottom"/>
          </w:tcPr>
          <w:p w:rsidR="00031031" w:rsidRPr="00D8644E" w:rsidRDefault="00031031" w:rsidP="00D8644E">
            <w:pPr>
              <w:spacing w:after="0" w:line="240" w:lineRule="auto"/>
              <w:rPr>
                <w:color w:val="000000"/>
              </w:rPr>
            </w:pPr>
            <w:r w:rsidRPr="00D8644E">
              <w:rPr>
                <w:color w:val="000000"/>
              </w:rPr>
              <w:t>Capital share of mixed income</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20</w:t>
            </w:r>
          </w:p>
        </w:tc>
        <w:tc>
          <w:tcPr>
            <w:tcW w:w="656" w:type="dxa"/>
            <w:tcBorders>
              <w:top w:val="nil"/>
              <w:left w:val="nil"/>
              <w:bottom w:val="nil"/>
              <w:right w:val="nil"/>
            </w:tcBorders>
            <w:noWrap/>
            <w:vAlign w:val="bottom"/>
          </w:tcPr>
          <w:p w:rsidR="00031031" w:rsidRPr="00D8644E" w:rsidRDefault="00031031" w:rsidP="00D8644E">
            <w:pPr>
              <w:spacing w:after="0" w:line="240" w:lineRule="auto"/>
              <w:rPr>
                <w:color w:val="000000"/>
              </w:rPr>
            </w:pPr>
          </w:p>
        </w:tc>
      </w:tr>
      <w:tr w:rsidR="00031031" w:rsidRPr="004113A4" w:rsidTr="00D8644E">
        <w:trPr>
          <w:trHeight w:val="300"/>
        </w:trPr>
        <w:tc>
          <w:tcPr>
            <w:tcW w:w="4824" w:type="dxa"/>
            <w:tcBorders>
              <w:top w:val="nil"/>
              <w:left w:val="nil"/>
              <w:bottom w:val="nil"/>
              <w:right w:val="nil"/>
            </w:tcBorders>
            <w:noWrap/>
            <w:vAlign w:val="bottom"/>
          </w:tcPr>
          <w:p w:rsidR="00031031" w:rsidRPr="00D8644E" w:rsidRDefault="00031031" w:rsidP="00D8644E">
            <w:pPr>
              <w:spacing w:after="0" w:line="240" w:lineRule="auto"/>
              <w:rPr>
                <w:color w:val="000000"/>
              </w:rPr>
            </w:pPr>
            <w:r w:rsidRPr="00D8644E">
              <w:rPr>
                <w:color w:val="000000"/>
              </w:rPr>
              <w:t>Taxes less subsidies on capital income</w:t>
            </w:r>
          </w:p>
        </w:tc>
        <w:tc>
          <w:tcPr>
            <w:tcW w:w="760" w:type="dxa"/>
            <w:tcBorders>
              <w:top w:val="nil"/>
              <w:left w:val="nil"/>
              <w:bottom w:val="single" w:sz="4" w:space="0" w:color="auto"/>
              <w:right w:val="nil"/>
            </w:tcBorders>
            <w:noWrap/>
            <w:vAlign w:val="bottom"/>
          </w:tcPr>
          <w:p w:rsidR="00031031" w:rsidRPr="00D8644E" w:rsidRDefault="00031031" w:rsidP="00D8644E">
            <w:pPr>
              <w:spacing w:after="0" w:line="240" w:lineRule="auto"/>
              <w:jc w:val="right"/>
              <w:rPr>
                <w:color w:val="000000"/>
              </w:rPr>
            </w:pPr>
            <w:r w:rsidRPr="00D8644E">
              <w:rPr>
                <w:color w:val="000000"/>
              </w:rPr>
              <w:t>16</w:t>
            </w:r>
          </w:p>
        </w:tc>
        <w:tc>
          <w:tcPr>
            <w:tcW w:w="656" w:type="dxa"/>
            <w:tcBorders>
              <w:top w:val="nil"/>
              <w:left w:val="nil"/>
              <w:bottom w:val="single" w:sz="4" w:space="0" w:color="auto"/>
              <w:right w:val="nil"/>
            </w:tcBorders>
            <w:noWrap/>
            <w:vAlign w:val="bottom"/>
          </w:tcPr>
          <w:p w:rsidR="00031031" w:rsidRPr="00D8644E" w:rsidRDefault="00031031" w:rsidP="00D8644E">
            <w:pPr>
              <w:spacing w:after="0" w:line="240" w:lineRule="auto"/>
              <w:rPr>
                <w:color w:val="000000"/>
              </w:rPr>
            </w:pPr>
            <w:r w:rsidRPr="00D8644E">
              <w:rPr>
                <w:color w:val="000000"/>
              </w:rPr>
              <w:t> </w:t>
            </w:r>
          </w:p>
        </w:tc>
      </w:tr>
      <w:tr w:rsidR="00031031" w:rsidRPr="004113A4" w:rsidTr="00D8644E">
        <w:trPr>
          <w:trHeight w:val="300"/>
        </w:trPr>
        <w:tc>
          <w:tcPr>
            <w:tcW w:w="4824" w:type="dxa"/>
            <w:tcBorders>
              <w:top w:val="nil"/>
              <w:left w:val="nil"/>
              <w:bottom w:val="nil"/>
              <w:right w:val="nil"/>
            </w:tcBorders>
            <w:noWrap/>
            <w:vAlign w:val="bottom"/>
          </w:tcPr>
          <w:p w:rsidR="00031031" w:rsidRPr="00D8644E" w:rsidRDefault="00031031" w:rsidP="00D8644E">
            <w:pPr>
              <w:spacing w:after="0" w:line="240" w:lineRule="auto"/>
              <w:rPr>
                <w:color w:val="000000"/>
              </w:rPr>
            </w:pPr>
            <w:r w:rsidRPr="00D8644E">
              <w:rPr>
                <w:color w:val="000000"/>
              </w:rPr>
              <w:t>Capital income, gross</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461.5</w:t>
            </w:r>
          </w:p>
        </w:tc>
        <w:tc>
          <w:tcPr>
            <w:tcW w:w="656"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27</w:t>
            </w:r>
          </w:p>
        </w:tc>
      </w:tr>
      <w:tr w:rsidR="00031031" w:rsidRPr="004113A4" w:rsidTr="00D8644E">
        <w:trPr>
          <w:trHeight w:val="315"/>
        </w:trPr>
        <w:tc>
          <w:tcPr>
            <w:tcW w:w="4824"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D8644E">
              <w:rPr>
                <w:color w:val="000000"/>
              </w:rPr>
              <w:t>For corporations and NPISHs</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356.3</w:t>
            </w:r>
          </w:p>
        </w:tc>
        <w:tc>
          <w:tcPr>
            <w:tcW w:w="656" w:type="dxa"/>
            <w:tcBorders>
              <w:top w:val="nil"/>
              <w:left w:val="nil"/>
              <w:bottom w:val="nil"/>
              <w:right w:val="nil"/>
            </w:tcBorders>
            <w:noWrap/>
            <w:vAlign w:val="bottom"/>
          </w:tcPr>
          <w:p w:rsidR="00031031" w:rsidRPr="00D8644E" w:rsidRDefault="00031031" w:rsidP="00D8644E">
            <w:pPr>
              <w:spacing w:after="0" w:line="240" w:lineRule="auto"/>
              <w:rPr>
                <w:color w:val="000000"/>
              </w:rPr>
            </w:pPr>
          </w:p>
        </w:tc>
      </w:tr>
      <w:tr w:rsidR="00031031" w:rsidRPr="004113A4" w:rsidTr="00D8644E">
        <w:trPr>
          <w:trHeight w:val="315"/>
        </w:trPr>
        <w:tc>
          <w:tcPr>
            <w:tcW w:w="4824"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D8644E">
              <w:rPr>
                <w:color w:val="000000"/>
              </w:rPr>
              <w:t>For owner-occupied housing</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84</w:t>
            </w:r>
          </w:p>
        </w:tc>
        <w:tc>
          <w:tcPr>
            <w:tcW w:w="656" w:type="dxa"/>
            <w:tcBorders>
              <w:top w:val="nil"/>
              <w:left w:val="nil"/>
              <w:bottom w:val="nil"/>
              <w:right w:val="nil"/>
            </w:tcBorders>
            <w:noWrap/>
            <w:vAlign w:val="bottom"/>
          </w:tcPr>
          <w:p w:rsidR="00031031" w:rsidRPr="00D8644E" w:rsidRDefault="00031031" w:rsidP="00D8644E">
            <w:pPr>
              <w:spacing w:after="0" w:line="240" w:lineRule="auto"/>
              <w:rPr>
                <w:color w:val="000000"/>
              </w:rPr>
            </w:pPr>
          </w:p>
        </w:tc>
      </w:tr>
      <w:tr w:rsidR="00031031" w:rsidRPr="004113A4" w:rsidTr="00D8644E">
        <w:trPr>
          <w:trHeight w:val="300"/>
        </w:trPr>
        <w:tc>
          <w:tcPr>
            <w:tcW w:w="4824"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D8644E">
              <w:rPr>
                <w:color w:val="000000"/>
              </w:rPr>
              <w:t>For mixed income</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21.2</w:t>
            </w:r>
          </w:p>
        </w:tc>
        <w:tc>
          <w:tcPr>
            <w:tcW w:w="656" w:type="dxa"/>
            <w:tcBorders>
              <w:top w:val="nil"/>
              <w:left w:val="nil"/>
              <w:bottom w:val="nil"/>
              <w:right w:val="nil"/>
            </w:tcBorders>
            <w:noWrap/>
            <w:vAlign w:val="bottom"/>
          </w:tcPr>
          <w:p w:rsidR="00031031" w:rsidRPr="00D8644E" w:rsidRDefault="00031031" w:rsidP="00D8644E">
            <w:pPr>
              <w:spacing w:after="0" w:line="240" w:lineRule="auto"/>
              <w:rPr>
                <w:color w:val="000000"/>
              </w:rPr>
            </w:pPr>
          </w:p>
        </w:tc>
      </w:tr>
      <w:tr w:rsidR="00031031" w:rsidRPr="004113A4" w:rsidTr="00D8644E">
        <w:trPr>
          <w:trHeight w:val="300"/>
        </w:trPr>
        <w:tc>
          <w:tcPr>
            <w:tcW w:w="4824" w:type="dxa"/>
            <w:tcBorders>
              <w:top w:val="nil"/>
              <w:left w:val="nil"/>
              <w:bottom w:val="nil"/>
              <w:right w:val="nil"/>
            </w:tcBorders>
            <w:noWrap/>
            <w:vAlign w:val="bottom"/>
          </w:tcPr>
          <w:p w:rsidR="00031031" w:rsidRPr="00D8644E" w:rsidRDefault="00031031" w:rsidP="00D8644E">
            <w:pPr>
              <w:spacing w:after="0" w:line="240" w:lineRule="auto"/>
              <w:rPr>
                <w:color w:val="000000"/>
              </w:rPr>
            </w:pPr>
            <w:r w:rsidRPr="00D8644E">
              <w:rPr>
                <w:color w:val="000000"/>
              </w:rPr>
              <w:t>Consumption of fixed capital</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195</w:t>
            </w:r>
          </w:p>
        </w:tc>
        <w:tc>
          <w:tcPr>
            <w:tcW w:w="656"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27</w:t>
            </w:r>
          </w:p>
        </w:tc>
      </w:tr>
      <w:tr w:rsidR="00031031" w:rsidRPr="004113A4" w:rsidTr="00D8644E">
        <w:trPr>
          <w:trHeight w:val="300"/>
        </w:trPr>
        <w:tc>
          <w:tcPr>
            <w:tcW w:w="4824"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D8644E">
              <w:rPr>
                <w:color w:val="000000"/>
              </w:rPr>
              <w:t>Corporations and NPISHs</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172</w:t>
            </w:r>
          </w:p>
        </w:tc>
        <w:tc>
          <w:tcPr>
            <w:tcW w:w="656" w:type="dxa"/>
            <w:tcBorders>
              <w:top w:val="nil"/>
              <w:left w:val="nil"/>
              <w:bottom w:val="nil"/>
              <w:right w:val="nil"/>
            </w:tcBorders>
            <w:noWrap/>
            <w:vAlign w:val="bottom"/>
          </w:tcPr>
          <w:p w:rsidR="00031031" w:rsidRPr="00D8644E" w:rsidRDefault="00031031" w:rsidP="00D8644E">
            <w:pPr>
              <w:spacing w:after="0" w:line="240" w:lineRule="auto"/>
              <w:rPr>
                <w:color w:val="000000"/>
              </w:rPr>
            </w:pPr>
          </w:p>
        </w:tc>
      </w:tr>
      <w:tr w:rsidR="00031031" w:rsidRPr="004113A4" w:rsidTr="00D8644E">
        <w:trPr>
          <w:trHeight w:val="300"/>
        </w:trPr>
        <w:tc>
          <w:tcPr>
            <w:tcW w:w="4824"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D8644E">
              <w:rPr>
                <w:color w:val="000000"/>
              </w:rPr>
              <w:t>Owner-occupied housing</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15</w:t>
            </w:r>
          </w:p>
        </w:tc>
        <w:tc>
          <w:tcPr>
            <w:tcW w:w="656" w:type="dxa"/>
            <w:tcBorders>
              <w:top w:val="nil"/>
              <w:left w:val="nil"/>
              <w:bottom w:val="nil"/>
              <w:right w:val="nil"/>
            </w:tcBorders>
            <w:noWrap/>
            <w:vAlign w:val="bottom"/>
          </w:tcPr>
          <w:p w:rsidR="00031031" w:rsidRPr="00D8644E" w:rsidRDefault="00031031" w:rsidP="00D8644E">
            <w:pPr>
              <w:spacing w:after="0" w:line="240" w:lineRule="auto"/>
              <w:rPr>
                <w:color w:val="000000"/>
              </w:rPr>
            </w:pPr>
          </w:p>
        </w:tc>
      </w:tr>
      <w:tr w:rsidR="00031031" w:rsidRPr="004113A4" w:rsidTr="00D8644E">
        <w:trPr>
          <w:trHeight w:val="300"/>
        </w:trPr>
        <w:tc>
          <w:tcPr>
            <w:tcW w:w="4824"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D8644E">
              <w:rPr>
                <w:color w:val="000000"/>
              </w:rPr>
              <w:t>Mixed income</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8</w:t>
            </w:r>
          </w:p>
        </w:tc>
        <w:tc>
          <w:tcPr>
            <w:tcW w:w="656" w:type="dxa"/>
            <w:tcBorders>
              <w:top w:val="nil"/>
              <w:left w:val="nil"/>
              <w:bottom w:val="nil"/>
              <w:right w:val="nil"/>
            </w:tcBorders>
            <w:noWrap/>
            <w:vAlign w:val="bottom"/>
          </w:tcPr>
          <w:p w:rsidR="00031031" w:rsidRPr="00D8644E" w:rsidRDefault="00031031" w:rsidP="00D8644E">
            <w:pPr>
              <w:spacing w:after="0" w:line="240" w:lineRule="auto"/>
              <w:rPr>
                <w:color w:val="000000"/>
              </w:rPr>
            </w:pPr>
          </w:p>
        </w:tc>
      </w:tr>
      <w:tr w:rsidR="00031031" w:rsidRPr="004113A4" w:rsidTr="00D8644E">
        <w:trPr>
          <w:trHeight w:val="300"/>
        </w:trPr>
        <w:tc>
          <w:tcPr>
            <w:tcW w:w="4824" w:type="dxa"/>
            <w:tcBorders>
              <w:top w:val="nil"/>
              <w:left w:val="nil"/>
              <w:bottom w:val="nil"/>
              <w:right w:val="nil"/>
            </w:tcBorders>
            <w:noWrap/>
            <w:vAlign w:val="bottom"/>
          </w:tcPr>
          <w:p w:rsidR="00031031" w:rsidRPr="00D8644E" w:rsidRDefault="00031031" w:rsidP="00D8644E">
            <w:pPr>
              <w:spacing w:after="0" w:line="240" w:lineRule="auto"/>
              <w:rPr>
                <w:color w:val="000000"/>
              </w:rPr>
            </w:pPr>
            <w:r w:rsidRPr="00D8644E">
              <w:rPr>
                <w:color w:val="000000"/>
              </w:rPr>
              <w:t>Capital income, net</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266.5</w:t>
            </w:r>
          </w:p>
        </w:tc>
        <w:tc>
          <w:tcPr>
            <w:tcW w:w="656"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0</w:t>
            </w:r>
          </w:p>
        </w:tc>
      </w:tr>
      <w:tr w:rsidR="00031031" w:rsidRPr="004113A4" w:rsidTr="00D8644E">
        <w:trPr>
          <w:trHeight w:val="300"/>
        </w:trPr>
        <w:tc>
          <w:tcPr>
            <w:tcW w:w="4824"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D8644E">
              <w:rPr>
                <w:color w:val="000000"/>
              </w:rPr>
              <w:t>Capital income, corporations and NPISHs</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184.3</w:t>
            </w:r>
          </w:p>
        </w:tc>
        <w:tc>
          <w:tcPr>
            <w:tcW w:w="656" w:type="dxa"/>
            <w:tcBorders>
              <w:top w:val="nil"/>
              <w:left w:val="nil"/>
              <w:bottom w:val="nil"/>
              <w:right w:val="nil"/>
            </w:tcBorders>
            <w:noWrap/>
            <w:vAlign w:val="bottom"/>
          </w:tcPr>
          <w:p w:rsidR="00031031" w:rsidRPr="00D8644E" w:rsidRDefault="00031031" w:rsidP="00D8644E">
            <w:pPr>
              <w:spacing w:after="0" w:line="240" w:lineRule="auto"/>
              <w:rPr>
                <w:color w:val="000000"/>
              </w:rPr>
            </w:pPr>
          </w:p>
        </w:tc>
      </w:tr>
      <w:tr w:rsidR="00031031" w:rsidRPr="004113A4" w:rsidTr="00D8644E">
        <w:trPr>
          <w:trHeight w:val="300"/>
        </w:trPr>
        <w:tc>
          <w:tcPr>
            <w:tcW w:w="4824"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D8644E">
              <w:rPr>
                <w:color w:val="000000"/>
              </w:rPr>
              <w:t>Capital income, owner-occupied housing</w:t>
            </w:r>
          </w:p>
        </w:tc>
        <w:tc>
          <w:tcPr>
            <w:tcW w:w="760" w:type="dxa"/>
            <w:tcBorders>
              <w:top w:val="nil"/>
              <w:left w:val="nil"/>
              <w:bottom w:val="nil"/>
              <w:right w:val="nil"/>
            </w:tcBorders>
            <w:noWrap/>
            <w:vAlign w:val="bottom"/>
          </w:tcPr>
          <w:p w:rsidR="00031031" w:rsidRPr="00D8644E" w:rsidRDefault="00031031" w:rsidP="00D8644E">
            <w:pPr>
              <w:spacing w:after="0" w:line="240" w:lineRule="auto"/>
              <w:jc w:val="right"/>
              <w:rPr>
                <w:color w:val="000000"/>
              </w:rPr>
            </w:pPr>
            <w:r w:rsidRPr="00D8644E">
              <w:rPr>
                <w:color w:val="000000"/>
              </w:rPr>
              <w:t>69</w:t>
            </w:r>
          </w:p>
        </w:tc>
        <w:tc>
          <w:tcPr>
            <w:tcW w:w="656" w:type="dxa"/>
            <w:tcBorders>
              <w:top w:val="nil"/>
              <w:left w:val="nil"/>
              <w:bottom w:val="nil"/>
              <w:right w:val="nil"/>
            </w:tcBorders>
            <w:noWrap/>
            <w:vAlign w:val="bottom"/>
          </w:tcPr>
          <w:p w:rsidR="00031031" w:rsidRPr="00D8644E" w:rsidRDefault="00031031" w:rsidP="00D8644E">
            <w:pPr>
              <w:spacing w:after="0" w:line="240" w:lineRule="auto"/>
              <w:rPr>
                <w:color w:val="000000"/>
              </w:rPr>
            </w:pPr>
          </w:p>
        </w:tc>
      </w:tr>
      <w:tr w:rsidR="00031031" w:rsidRPr="004113A4" w:rsidTr="00D8644E">
        <w:trPr>
          <w:trHeight w:val="315"/>
        </w:trPr>
        <w:tc>
          <w:tcPr>
            <w:tcW w:w="4824" w:type="dxa"/>
            <w:tcBorders>
              <w:top w:val="nil"/>
              <w:left w:val="nil"/>
              <w:bottom w:val="single" w:sz="4" w:space="0" w:color="auto"/>
              <w:right w:val="nil"/>
            </w:tcBorders>
            <w:noWrap/>
            <w:vAlign w:val="bottom"/>
          </w:tcPr>
          <w:p w:rsidR="00031031" w:rsidRDefault="00031031" w:rsidP="000E7694">
            <w:pPr>
              <w:spacing w:after="0" w:line="240" w:lineRule="auto"/>
              <w:ind w:firstLineChars="100" w:firstLine="220"/>
              <w:rPr>
                <w:color w:val="000000"/>
              </w:rPr>
            </w:pPr>
            <w:r w:rsidRPr="00D8644E">
              <w:rPr>
                <w:color w:val="000000"/>
              </w:rPr>
              <w:t>Capital income from mixed income, net</w:t>
            </w:r>
          </w:p>
        </w:tc>
        <w:tc>
          <w:tcPr>
            <w:tcW w:w="760" w:type="dxa"/>
            <w:tcBorders>
              <w:top w:val="nil"/>
              <w:left w:val="nil"/>
              <w:bottom w:val="single" w:sz="4" w:space="0" w:color="auto"/>
              <w:right w:val="nil"/>
            </w:tcBorders>
            <w:noWrap/>
            <w:vAlign w:val="bottom"/>
          </w:tcPr>
          <w:p w:rsidR="00031031" w:rsidRPr="00D8644E" w:rsidRDefault="00031031" w:rsidP="00D8644E">
            <w:pPr>
              <w:spacing w:after="0" w:line="240" w:lineRule="auto"/>
              <w:jc w:val="right"/>
              <w:rPr>
                <w:color w:val="000000"/>
              </w:rPr>
            </w:pPr>
            <w:r w:rsidRPr="00D8644E">
              <w:rPr>
                <w:color w:val="000000"/>
              </w:rPr>
              <w:t>13</w:t>
            </w:r>
          </w:p>
        </w:tc>
        <w:tc>
          <w:tcPr>
            <w:tcW w:w="656" w:type="dxa"/>
            <w:tcBorders>
              <w:top w:val="nil"/>
              <w:left w:val="nil"/>
              <w:bottom w:val="single" w:sz="4" w:space="0" w:color="auto"/>
              <w:right w:val="nil"/>
            </w:tcBorders>
            <w:noWrap/>
            <w:vAlign w:val="bottom"/>
          </w:tcPr>
          <w:p w:rsidR="00031031" w:rsidRPr="00D8644E" w:rsidRDefault="00031031" w:rsidP="00D8644E">
            <w:pPr>
              <w:spacing w:after="0" w:line="240" w:lineRule="auto"/>
              <w:rPr>
                <w:color w:val="000000"/>
              </w:rPr>
            </w:pPr>
            <w:r w:rsidRPr="00D8644E">
              <w:rPr>
                <w:color w:val="000000"/>
              </w:rPr>
              <w:t> </w:t>
            </w:r>
          </w:p>
        </w:tc>
      </w:tr>
    </w:tbl>
    <w:p w:rsidR="00031031" w:rsidRDefault="00031031" w:rsidP="002F5404"/>
    <w:p w:rsidR="00031031" w:rsidRDefault="00031031" w:rsidP="002F5404">
      <w:r>
        <w:lastRenderedPageBreak/>
        <w:t xml:space="preserve">Net capital income and its three components are entered from the corresponding private and public sector values in table 4.6. </w:t>
      </w:r>
    </w:p>
    <w:p w:rsidR="00031031" w:rsidRDefault="00031031" w:rsidP="002F5404">
      <w:r>
        <w:t xml:space="preserve">NTA property income inflows and outflows for public and private in table 4.6 are identical to SNA property income resources and uses. NTA also distinguishes interest on consumer credit. The NTA outflow is set equal to interest uses by households reported in SNA. There is no need to distinguish NTA private inflows separately for consumer credit and other forms of property income. </w:t>
      </w:r>
    </w:p>
    <w:p w:rsidR="00031031" w:rsidRDefault="00031031" w:rsidP="002F5404">
      <w:pPr>
        <w:pStyle w:val="Heading2"/>
      </w:pPr>
      <w:r>
        <w:t>4.4.2 Calculating consumption and saving</w:t>
      </w:r>
    </w:p>
    <w:p w:rsidR="00031031" w:rsidRDefault="00031031" w:rsidP="002F5404">
      <w:r>
        <w:t xml:space="preserve">Calculating NTA consumption and saving are taken up at this point because once this step is completed the complete NTA life cycle account can be constructed, as well as, public and private asset–based reallocations. Transfers are taken up in the next section. </w:t>
      </w:r>
    </w:p>
    <w:p w:rsidR="00031031" w:rsidRDefault="00031031" w:rsidP="002F5404">
      <w:r>
        <w:t>The SNA use of disposable income, net for UNSNA 2008 is presented in table 4.10. Again the values for corporations, households and NPISHs are combined and classified as private flows.</w:t>
      </w:r>
    </w:p>
    <w:p w:rsidR="00031031" w:rsidRDefault="00E502E9" w:rsidP="002F5404">
      <w:r>
        <w:rPr>
          <w:noProof/>
        </w:rPr>
        <w:pict>
          <v:shape id="Picture 9" o:spid="_x0000_i1031" type="#_x0000_t75" style="width:503.2pt;height:79.2pt;visibility:visible">
            <v:imagedata r:id="rId16" o:title=""/>
          </v:shape>
        </w:pict>
      </w:r>
    </w:p>
    <w:p w:rsidR="00031031" w:rsidRDefault="00031031" w:rsidP="002F5404">
      <w:r>
        <w:t xml:space="preserve">The value of SNA final consumption expenditure includes taxes less taxes on products. These are excluded from NTA consumption as explained above. Taxes less subsidies on consumption as calculated in table 4.8 is 133 for private consumption and 0 for public consumption. Hence, NTA private consumption is reduced by 133 from 1,047 to 914 while public consumption is unaffected and remains 352. The adjusted consumption values are combined with the labour income values from table 4.6 to construct the NTA aggregate life cycle flows (table 4.11). The life cycle deficit is calculated as consumption less labour income. </w:t>
      </w:r>
    </w:p>
    <w:tbl>
      <w:tblPr>
        <w:tblW w:w="6160" w:type="dxa"/>
        <w:tblInd w:w="93" w:type="dxa"/>
        <w:tblLook w:val="00A0"/>
      </w:tblPr>
      <w:tblGrid>
        <w:gridCol w:w="5026"/>
        <w:gridCol w:w="1134"/>
      </w:tblGrid>
      <w:tr w:rsidR="00031031" w:rsidRPr="004113A4" w:rsidTr="002F5404">
        <w:trPr>
          <w:trHeight w:val="300"/>
        </w:trPr>
        <w:tc>
          <w:tcPr>
            <w:tcW w:w="6160" w:type="dxa"/>
            <w:gridSpan w:val="2"/>
            <w:tcBorders>
              <w:top w:val="nil"/>
              <w:left w:val="nil"/>
              <w:bottom w:val="single" w:sz="4" w:space="0" w:color="auto"/>
              <w:right w:val="nil"/>
            </w:tcBorders>
            <w:noWrap/>
            <w:vAlign w:val="bottom"/>
          </w:tcPr>
          <w:p w:rsidR="00031031" w:rsidRPr="00E121F5" w:rsidRDefault="00031031" w:rsidP="002F5404">
            <w:pPr>
              <w:spacing w:after="0" w:line="240" w:lineRule="auto"/>
              <w:rPr>
                <w:color w:val="000000"/>
              </w:rPr>
            </w:pPr>
            <w:r>
              <w:rPr>
                <w:color w:val="000000"/>
              </w:rPr>
              <w:t>Table 4.11.</w:t>
            </w:r>
            <w:r w:rsidRPr="00E121F5">
              <w:rPr>
                <w:color w:val="000000"/>
              </w:rPr>
              <w:t xml:space="preserve"> Aggregate life</w:t>
            </w:r>
            <w:r>
              <w:rPr>
                <w:color w:val="000000"/>
              </w:rPr>
              <w:t xml:space="preserve"> </w:t>
            </w:r>
            <w:r w:rsidRPr="00E121F5">
              <w:rPr>
                <w:color w:val="000000"/>
              </w:rPr>
              <w:t xml:space="preserve">cycle flows, </w:t>
            </w:r>
            <w:r>
              <w:rPr>
                <w:color w:val="000000"/>
              </w:rPr>
              <w:t>UNSNA,</w:t>
            </w:r>
            <w:r w:rsidRPr="00E121F5">
              <w:rPr>
                <w:color w:val="000000"/>
              </w:rPr>
              <w:t xml:space="preserve"> 2008</w:t>
            </w:r>
          </w:p>
        </w:tc>
      </w:tr>
      <w:tr w:rsidR="00031031" w:rsidRPr="004113A4" w:rsidTr="002F5404">
        <w:trPr>
          <w:trHeight w:val="300"/>
        </w:trPr>
        <w:tc>
          <w:tcPr>
            <w:tcW w:w="5026" w:type="dxa"/>
            <w:tcBorders>
              <w:top w:val="nil"/>
              <w:left w:val="nil"/>
              <w:bottom w:val="nil"/>
              <w:right w:val="nil"/>
            </w:tcBorders>
            <w:shd w:val="clear" w:color="000000" w:fill="FFFFFF"/>
            <w:noWrap/>
            <w:vAlign w:val="bottom"/>
          </w:tcPr>
          <w:p w:rsidR="00031031" w:rsidRPr="00E121F5" w:rsidRDefault="00031031" w:rsidP="002F5404">
            <w:pPr>
              <w:spacing w:after="0" w:line="240" w:lineRule="auto"/>
              <w:rPr>
                <w:b/>
                <w:bCs/>
              </w:rPr>
            </w:pPr>
            <w:r w:rsidRPr="00E121F5">
              <w:rPr>
                <w:b/>
                <w:bCs/>
              </w:rPr>
              <w:t xml:space="preserve">Lifecycle </w:t>
            </w:r>
            <w:r>
              <w:rPr>
                <w:b/>
                <w:bCs/>
              </w:rPr>
              <w:t>d</w:t>
            </w:r>
            <w:r w:rsidRPr="00E121F5">
              <w:rPr>
                <w:b/>
                <w:bCs/>
              </w:rPr>
              <w:t>eficit</w:t>
            </w:r>
          </w:p>
        </w:tc>
        <w:tc>
          <w:tcPr>
            <w:tcW w:w="1134" w:type="dxa"/>
            <w:tcBorders>
              <w:top w:val="nil"/>
              <w:left w:val="nil"/>
              <w:bottom w:val="nil"/>
              <w:right w:val="nil"/>
            </w:tcBorders>
            <w:shd w:val="clear" w:color="000000" w:fill="FFFFFF"/>
            <w:noWrap/>
            <w:vAlign w:val="bottom"/>
          </w:tcPr>
          <w:p w:rsidR="00031031" w:rsidRPr="00E121F5" w:rsidRDefault="00031031" w:rsidP="002F5404">
            <w:pPr>
              <w:spacing w:after="0" w:line="240" w:lineRule="auto"/>
              <w:jc w:val="right"/>
              <w:rPr>
                <w:color w:val="000000"/>
              </w:rPr>
            </w:pPr>
            <w:r w:rsidRPr="00E121F5">
              <w:rPr>
                <w:color w:val="000000"/>
              </w:rPr>
              <w:t>29.5</w:t>
            </w:r>
          </w:p>
        </w:tc>
      </w:tr>
      <w:tr w:rsidR="00031031" w:rsidRPr="004113A4" w:rsidTr="002F5404">
        <w:trPr>
          <w:trHeight w:val="300"/>
        </w:trPr>
        <w:tc>
          <w:tcPr>
            <w:tcW w:w="5026" w:type="dxa"/>
            <w:tcBorders>
              <w:top w:val="nil"/>
              <w:left w:val="nil"/>
              <w:bottom w:val="nil"/>
              <w:right w:val="nil"/>
            </w:tcBorders>
            <w:shd w:val="clear" w:color="000000" w:fill="FFFFFF"/>
            <w:noWrap/>
            <w:vAlign w:val="bottom"/>
          </w:tcPr>
          <w:p w:rsidR="00031031" w:rsidRDefault="00031031" w:rsidP="00E502E9">
            <w:pPr>
              <w:spacing w:after="0" w:line="240" w:lineRule="auto"/>
              <w:ind w:firstLineChars="100" w:firstLine="221"/>
              <w:rPr>
                <w:rFonts w:ascii="Cambria" w:hAnsi="Cambria"/>
                <w:b/>
                <w:bCs/>
                <w:color w:val="365F91"/>
                <w:sz w:val="28"/>
                <w:szCs w:val="28"/>
              </w:rPr>
            </w:pPr>
            <w:r w:rsidRPr="00E121F5">
              <w:rPr>
                <w:b/>
                <w:bCs/>
              </w:rPr>
              <w:t>Consumption</w:t>
            </w:r>
          </w:p>
        </w:tc>
        <w:tc>
          <w:tcPr>
            <w:tcW w:w="1134" w:type="dxa"/>
            <w:tcBorders>
              <w:top w:val="nil"/>
              <w:left w:val="nil"/>
              <w:bottom w:val="nil"/>
              <w:right w:val="nil"/>
            </w:tcBorders>
            <w:shd w:val="clear" w:color="000000" w:fill="FFFFFF"/>
            <w:noWrap/>
            <w:vAlign w:val="bottom"/>
          </w:tcPr>
          <w:p w:rsidR="00031031" w:rsidRPr="00E121F5" w:rsidRDefault="00031031" w:rsidP="002F5404">
            <w:pPr>
              <w:spacing w:after="0" w:line="240" w:lineRule="auto"/>
              <w:jc w:val="right"/>
              <w:rPr>
                <w:color w:val="000000"/>
              </w:rPr>
            </w:pPr>
            <w:r w:rsidRPr="00E121F5">
              <w:rPr>
                <w:color w:val="000000"/>
              </w:rPr>
              <w:t>1,266.0</w:t>
            </w:r>
          </w:p>
        </w:tc>
      </w:tr>
      <w:tr w:rsidR="00031031" w:rsidRPr="004113A4" w:rsidTr="002F5404">
        <w:trPr>
          <w:trHeight w:val="300"/>
        </w:trPr>
        <w:tc>
          <w:tcPr>
            <w:tcW w:w="5026" w:type="dxa"/>
            <w:tcBorders>
              <w:top w:val="nil"/>
              <w:left w:val="nil"/>
              <w:bottom w:val="nil"/>
              <w:right w:val="nil"/>
            </w:tcBorders>
            <w:shd w:val="clear" w:color="000000" w:fill="FFFFFF"/>
            <w:noWrap/>
            <w:vAlign w:val="bottom"/>
          </w:tcPr>
          <w:p w:rsidR="00031031" w:rsidRDefault="00031031" w:rsidP="006C3DA4">
            <w:pPr>
              <w:spacing w:after="0" w:line="240" w:lineRule="auto"/>
              <w:ind w:firstLineChars="200" w:firstLine="440"/>
              <w:rPr>
                <w:rFonts w:ascii="Cambria" w:hAnsi="Cambria"/>
                <w:b/>
                <w:bCs/>
                <w:color w:val="365F91"/>
                <w:sz w:val="28"/>
                <w:szCs w:val="28"/>
              </w:rPr>
            </w:pPr>
            <w:r w:rsidRPr="00E121F5">
              <w:t xml:space="preserve">Public </w:t>
            </w:r>
            <w:r>
              <w:t>c</w:t>
            </w:r>
            <w:r w:rsidRPr="00E121F5">
              <w:t>onsumption</w:t>
            </w:r>
          </w:p>
        </w:tc>
        <w:tc>
          <w:tcPr>
            <w:tcW w:w="1134" w:type="dxa"/>
            <w:tcBorders>
              <w:top w:val="nil"/>
              <w:left w:val="nil"/>
              <w:bottom w:val="nil"/>
              <w:right w:val="nil"/>
            </w:tcBorders>
            <w:shd w:val="clear" w:color="000000" w:fill="FFFFFF"/>
            <w:noWrap/>
            <w:vAlign w:val="bottom"/>
          </w:tcPr>
          <w:p w:rsidR="00031031" w:rsidRPr="00E121F5" w:rsidRDefault="00031031" w:rsidP="002F5404">
            <w:pPr>
              <w:spacing w:after="0" w:line="240" w:lineRule="auto"/>
              <w:jc w:val="right"/>
              <w:rPr>
                <w:color w:val="000000"/>
              </w:rPr>
            </w:pPr>
            <w:r w:rsidRPr="00E121F5">
              <w:rPr>
                <w:color w:val="000000"/>
              </w:rPr>
              <w:t>352.0</w:t>
            </w:r>
          </w:p>
        </w:tc>
      </w:tr>
      <w:tr w:rsidR="00031031" w:rsidRPr="004113A4" w:rsidTr="002F5404">
        <w:trPr>
          <w:trHeight w:val="300"/>
        </w:trPr>
        <w:tc>
          <w:tcPr>
            <w:tcW w:w="5026" w:type="dxa"/>
            <w:tcBorders>
              <w:top w:val="nil"/>
              <w:left w:val="nil"/>
              <w:bottom w:val="nil"/>
              <w:right w:val="nil"/>
            </w:tcBorders>
            <w:shd w:val="clear" w:color="000000" w:fill="FFFFFF"/>
            <w:noWrap/>
            <w:vAlign w:val="bottom"/>
          </w:tcPr>
          <w:p w:rsidR="00031031" w:rsidRDefault="00031031" w:rsidP="006C3DA4">
            <w:pPr>
              <w:spacing w:after="0" w:line="240" w:lineRule="auto"/>
              <w:ind w:firstLineChars="200" w:firstLine="440"/>
              <w:rPr>
                <w:rFonts w:ascii="Cambria" w:hAnsi="Cambria"/>
                <w:b/>
                <w:bCs/>
                <w:color w:val="365F91"/>
                <w:sz w:val="28"/>
                <w:szCs w:val="28"/>
              </w:rPr>
            </w:pPr>
            <w:r w:rsidRPr="00E121F5">
              <w:t xml:space="preserve">Private </w:t>
            </w:r>
            <w:r>
              <w:t>c</w:t>
            </w:r>
            <w:r w:rsidRPr="00E121F5">
              <w:t>onsumption</w:t>
            </w:r>
          </w:p>
        </w:tc>
        <w:tc>
          <w:tcPr>
            <w:tcW w:w="1134" w:type="dxa"/>
            <w:tcBorders>
              <w:top w:val="nil"/>
              <w:left w:val="nil"/>
              <w:bottom w:val="nil"/>
              <w:right w:val="nil"/>
            </w:tcBorders>
            <w:shd w:val="clear" w:color="000000" w:fill="FFFFFF"/>
            <w:noWrap/>
            <w:vAlign w:val="bottom"/>
          </w:tcPr>
          <w:p w:rsidR="00031031" w:rsidRPr="00E121F5" w:rsidRDefault="00031031" w:rsidP="002F5404">
            <w:pPr>
              <w:spacing w:after="0" w:line="240" w:lineRule="auto"/>
              <w:jc w:val="right"/>
              <w:rPr>
                <w:color w:val="000000"/>
              </w:rPr>
            </w:pPr>
            <w:r w:rsidRPr="00E121F5">
              <w:rPr>
                <w:color w:val="000000"/>
              </w:rPr>
              <w:t>914.0</w:t>
            </w:r>
          </w:p>
        </w:tc>
      </w:tr>
      <w:tr w:rsidR="00031031" w:rsidRPr="004113A4" w:rsidTr="002F5404">
        <w:trPr>
          <w:trHeight w:val="300"/>
        </w:trPr>
        <w:tc>
          <w:tcPr>
            <w:tcW w:w="5026" w:type="dxa"/>
            <w:tcBorders>
              <w:top w:val="nil"/>
              <w:left w:val="nil"/>
              <w:bottom w:val="nil"/>
              <w:right w:val="nil"/>
            </w:tcBorders>
            <w:noWrap/>
            <w:vAlign w:val="bottom"/>
          </w:tcPr>
          <w:p w:rsidR="00031031" w:rsidRDefault="00031031" w:rsidP="00E502E9">
            <w:pPr>
              <w:spacing w:after="0" w:line="240" w:lineRule="auto"/>
              <w:ind w:firstLineChars="100" w:firstLine="221"/>
              <w:rPr>
                <w:rFonts w:ascii="Cambria" w:hAnsi="Cambria"/>
                <w:b/>
                <w:bCs/>
                <w:color w:val="365F91"/>
                <w:sz w:val="28"/>
                <w:szCs w:val="28"/>
              </w:rPr>
            </w:pPr>
            <w:r>
              <w:rPr>
                <w:b/>
                <w:bCs/>
              </w:rPr>
              <w:t>Labour</w:t>
            </w:r>
            <w:r w:rsidRPr="00E121F5">
              <w:rPr>
                <w:b/>
                <w:bCs/>
              </w:rPr>
              <w:t xml:space="preserve"> </w:t>
            </w:r>
            <w:r>
              <w:rPr>
                <w:b/>
                <w:bCs/>
              </w:rPr>
              <w:t>i</w:t>
            </w:r>
            <w:r w:rsidRPr="00E121F5">
              <w:rPr>
                <w:b/>
                <w:bCs/>
              </w:rPr>
              <w:t xml:space="preserve">ncome </w:t>
            </w:r>
          </w:p>
        </w:tc>
        <w:tc>
          <w:tcPr>
            <w:tcW w:w="1134" w:type="dxa"/>
            <w:tcBorders>
              <w:top w:val="nil"/>
              <w:left w:val="nil"/>
              <w:bottom w:val="nil"/>
              <w:right w:val="nil"/>
            </w:tcBorders>
            <w:shd w:val="clear" w:color="000000" w:fill="FFFFFF"/>
            <w:noWrap/>
            <w:vAlign w:val="bottom"/>
          </w:tcPr>
          <w:p w:rsidR="00031031" w:rsidRPr="00E121F5" w:rsidRDefault="00031031" w:rsidP="002F5404">
            <w:pPr>
              <w:spacing w:after="0" w:line="240" w:lineRule="auto"/>
              <w:jc w:val="right"/>
              <w:rPr>
                <w:color w:val="000000"/>
              </w:rPr>
            </w:pPr>
            <w:r w:rsidRPr="00E121F5">
              <w:rPr>
                <w:color w:val="000000"/>
              </w:rPr>
              <w:t>1,236.5</w:t>
            </w:r>
          </w:p>
        </w:tc>
      </w:tr>
      <w:tr w:rsidR="00031031" w:rsidRPr="004113A4" w:rsidTr="002F5404">
        <w:trPr>
          <w:trHeight w:val="300"/>
        </w:trPr>
        <w:tc>
          <w:tcPr>
            <w:tcW w:w="5026" w:type="dxa"/>
            <w:tcBorders>
              <w:top w:val="nil"/>
              <w:left w:val="nil"/>
              <w:bottom w:val="nil"/>
              <w:right w:val="nil"/>
            </w:tcBorders>
            <w:noWrap/>
            <w:vAlign w:val="bottom"/>
          </w:tcPr>
          <w:p w:rsidR="00031031" w:rsidRDefault="00031031" w:rsidP="006C3DA4">
            <w:pPr>
              <w:spacing w:after="0" w:line="240" w:lineRule="auto"/>
              <w:ind w:firstLineChars="200" w:firstLine="440"/>
              <w:rPr>
                <w:rFonts w:ascii="Cambria" w:hAnsi="Cambria"/>
                <w:b/>
                <w:bCs/>
                <w:color w:val="365F91"/>
                <w:sz w:val="28"/>
                <w:szCs w:val="28"/>
              </w:rPr>
            </w:pPr>
            <w:r w:rsidRPr="00E121F5">
              <w:t>Earnings</w:t>
            </w:r>
          </w:p>
        </w:tc>
        <w:tc>
          <w:tcPr>
            <w:tcW w:w="1134" w:type="dxa"/>
            <w:tcBorders>
              <w:top w:val="nil"/>
              <w:left w:val="nil"/>
              <w:bottom w:val="nil"/>
              <w:right w:val="nil"/>
            </w:tcBorders>
            <w:shd w:val="clear" w:color="000000" w:fill="FFFFFF"/>
            <w:noWrap/>
            <w:vAlign w:val="bottom"/>
          </w:tcPr>
          <w:p w:rsidR="00031031" w:rsidRPr="00E121F5" w:rsidRDefault="00031031" w:rsidP="002F5404">
            <w:pPr>
              <w:spacing w:after="0" w:line="240" w:lineRule="auto"/>
              <w:jc w:val="right"/>
              <w:rPr>
                <w:color w:val="000000"/>
              </w:rPr>
            </w:pPr>
            <w:r w:rsidRPr="00E121F5">
              <w:rPr>
                <w:color w:val="000000"/>
              </w:rPr>
              <w:t>1,194.8</w:t>
            </w:r>
          </w:p>
        </w:tc>
      </w:tr>
      <w:tr w:rsidR="00031031" w:rsidRPr="004113A4" w:rsidTr="002F5404">
        <w:trPr>
          <w:trHeight w:val="300"/>
        </w:trPr>
        <w:tc>
          <w:tcPr>
            <w:tcW w:w="5026" w:type="dxa"/>
            <w:tcBorders>
              <w:top w:val="nil"/>
              <w:left w:val="nil"/>
              <w:bottom w:val="single" w:sz="4" w:space="0" w:color="auto"/>
              <w:right w:val="nil"/>
            </w:tcBorders>
            <w:noWrap/>
            <w:vAlign w:val="bottom"/>
          </w:tcPr>
          <w:p w:rsidR="00031031" w:rsidRDefault="00031031" w:rsidP="006C3DA4">
            <w:pPr>
              <w:spacing w:after="0" w:line="240" w:lineRule="auto"/>
              <w:ind w:firstLineChars="200" w:firstLine="440"/>
              <w:rPr>
                <w:rFonts w:ascii="Cambria" w:hAnsi="Cambria"/>
                <w:b/>
                <w:bCs/>
                <w:color w:val="365F91"/>
                <w:sz w:val="28"/>
                <w:szCs w:val="28"/>
              </w:rPr>
            </w:pPr>
            <w:r w:rsidRPr="00E121F5">
              <w:t xml:space="preserve">Self-employment </w:t>
            </w:r>
            <w:r>
              <w:t>labour</w:t>
            </w:r>
            <w:r w:rsidRPr="00E121F5">
              <w:t xml:space="preserve"> </w:t>
            </w:r>
            <w:r>
              <w:t>i</w:t>
            </w:r>
            <w:r w:rsidRPr="00E121F5">
              <w:t>ncome</w:t>
            </w:r>
          </w:p>
        </w:tc>
        <w:tc>
          <w:tcPr>
            <w:tcW w:w="1134" w:type="dxa"/>
            <w:tcBorders>
              <w:top w:val="nil"/>
              <w:left w:val="nil"/>
              <w:bottom w:val="single" w:sz="4" w:space="0" w:color="auto"/>
              <w:right w:val="nil"/>
            </w:tcBorders>
            <w:shd w:val="clear" w:color="000000" w:fill="FFFFFF"/>
            <w:noWrap/>
            <w:vAlign w:val="bottom"/>
          </w:tcPr>
          <w:p w:rsidR="00031031" w:rsidRPr="00E121F5" w:rsidRDefault="00031031" w:rsidP="002F5404">
            <w:pPr>
              <w:spacing w:after="0" w:line="240" w:lineRule="auto"/>
              <w:jc w:val="right"/>
              <w:rPr>
                <w:color w:val="000000"/>
              </w:rPr>
            </w:pPr>
            <w:r w:rsidRPr="00E121F5">
              <w:rPr>
                <w:color w:val="000000"/>
              </w:rPr>
              <w:t>41.7</w:t>
            </w:r>
          </w:p>
        </w:tc>
      </w:tr>
    </w:tbl>
    <w:p w:rsidR="00031031" w:rsidRDefault="00031031" w:rsidP="002F5404"/>
    <w:p w:rsidR="00031031" w:rsidRDefault="00031031" w:rsidP="002F5404">
      <w:r>
        <w:t xml:space="preserve">In addition, tables 4.6 and 4.10 provide the information required to compile public and private asset–based reallocations. Asset-based reallocations consist of asset income, detailed in table 4.6, and saving reported in table 4.10. The adjustment of consumption does not influence saving, because disposable income is also reduced by the same amount. SNA saving in table 4.10 is adjusted to account for changes </w:t>
      </w:r>
      <w:r>
        <w:lastRenderedPageBreak/>
        <w:t xml:space="preserve">in pension entitlements. In this particular example, the adjustment affects only household and corporate saving, but these are combined in NTA into private saving. Private saving could be affected, however, if the change in pension entitlements involved the rest of the world. NTA does not adjust for changes in pension entitlements, and saving is defined as net disposable income less consumption. </w:t>
      </w:r>
    </w:p>
    <w:p w:rsidR="00031031" w:rsidRDefault="00031031" w:rsidP="002F5404">
      <w:r>
        <w:t xml:space="preserve">Public asset–based reallocations are reported in table 4.12. Public asset income and its components are taken directly from the public sector flows in table 4.6. Public capital income is net of depreciation. Public property income is public property income inflows less outflows. Public asset income is public capital income plus property income. Public saving is taken from table 4.10, SNA use of disposable income. Public asset–based reallocations are equal to public asset income less public saving. </w:t>
      </w:r>
    </w:p>
    <w:tbl>
      <w:tblPr>
        <w:tblW w:w="5060" w:type="dxa"/>
        <w:tblInd w:w="93" w:type="dxa"/>
        <w:tblLook w:val="00A0"/>
      </w:tblPr>
      <w:tblGrid>
        <w:gridCol w:w="3975"/>
        <w:gridCol w:w="360"/>
        <w:gridCol w:w="281"/>
        <w:gridCol w:w="444"/>
      </w:tblGrid>
      <w:tr w:rsidR="00031031" w:rsidRPr="004113A4" w:rsidTr="002F5404">
        <w:trPr>
          <w:trHeight w:val="300"/>
        </w:trPr>
        <w:tc>
          <w:tcPr>
            <w:tcW w:w="5060" w:type="dxa"/>
            <w:gridSpan w:val="4"/>
            <w:tcBorders>
              <w:top w:val="nil"/>
              <w:left w:val="nil"/>
              <w:bottom w:val="single" w:sz="4" w:space="0" w:color="auto"/>
              <w:right w:val="nil"/>
            </w:tcBorders>
            <w:noWrap/>
            <w:vAlign w:val="bottom"/>
          </w:tcPr>
          <w:p w:rsidR="00031031" w:rsidRPr="00AB6433" w:rsidRDefault="00031031" w:rsidP="002F5404">
            <w:pPr>
              <w:spacing w:after="0" w:line="240" w:lineRule="auto"/>
              <w:rPr>
                <w:color w:val="000000"/>
              </w:rPr>
            </w:pPr>
            <w:r>
              <w:rPr>
                <w:color w:val="000000"/>
              </w:rPr>
              <w:t>Table 4.12.</w:t>
            </w:r>
            <w:r w:rsidRPr="00AB6433">
              <w:rPr>
                <w:color w:val="000000"/>
              </w:rPr>
              <w:t xml:space="preserve"> Aggregate public asset</w:t>
            </w:r>
            <w:r>
              <w:rPr>
                <w:color w:val="000000"/>
              </w:rPr>
              <w:t>–</w:t>
            </w:r>
            <w:r w:rsidRPr="00AB6433">
              <w:rPr>
                <w:color w:val="000000"/>
              </w:rPr>
              <w:t>based reallocations</w:t>
            </w:r>
          </w:p>
        </w:tc>
      </w:tr>
      <w:tr w:rsidR="00031031" w:rsidRPr="004113A4" w:rsidTr="002F5404">
        <w:trPr>
          <w:trHeight w:val="300"/>
        </w:trPr>
        <w:tc>
          <w:tcPr>
            <w:tcW w:w="4616" w:type="dxa"/>
            <w:gridSpan w:val="3"/>
            <w:tcBorders>
              <w:top w:val="nil"/>
              <w:left w:val="nil"/>
              <w:bottom w:val="nil"/>
              <w:right w:val="nil"/>
            </w:tcBorders>
            <w:noWrap/>
            <w:vAlign w:val="bottom"/>
          </w:tcPr>
          <w:p w:rsidR="00031031" w:rsidRPr="00AB6433" w:rsidRDefault="00031031" w:rsidP="002F5404">
            <w:pPr>
              <w:spacing w:after="0" w:line="240" w:lineRule="auto"/>
              <w:rPr>
                <w:color w:val="000000"/>
              </w:rPr>
            </w:pPr>
            <w:r w:rsidRPr="00AB6433">
              <w:rPr>
                <w:color w:val="000000"/>
              </w:rPr>
              <w:t>Public asset</w:t>
            </w:r>
            <w:r>
              <w:rPr>
                <w:color w:val="000000"/>
              </w:rPr>
              <w:t>–</w:t>
            </w:r>
            <w:r w:rsidRPr="00AB6433">
              <w:rPr>
                <w:color w:val="000000"/>
              </w:rPr>
              <w:t>based reallocations</w:t>
            </w:r>
          </w:p>
        </w:tc>
        <w:tc>
          <w:tcPr>
            <w:tcW w:w="444" w:type="dxa"/>
            <w:tcBorders>
              <w:top w:val="nil"/>
              <w:left w:val="nil"/>
              <w:bottom w:val="nil"/>
              <w:right w:val="nil"/>
            </w:tcBorders>
            <w:noWrap/>
            <w:vAlign w:val="bottom"/>
          </w:tcPr>
          <w:p w:rsidR="00031031" w:rsidRPr="00AB6433" w:rsidRDefault="00031031" w:rsidP="002F5404">
            <w:pPr>
              <w:spacing w:after="0" w:line="240" w:lineRule="auto"/>
              <w:jc w:val="right"/>
              <w:rPr>
                <w:color w:val="000000"/>
              </w:rPr>
            </w:pPr>
            <w:r w:rsidRPr="00AB6433">
              <w:rPr>
                <w:color w:val="000000"/>
              </w:rPr>
              <w:t>42</w:t>
            </w:r>
          </w:p>
        </w:tc>
      </w:tr>
      <w:tr w:rsidR="00031031" w:rsidRPr="004113A4" w:rsidTr="002F5404">
        <w:trPr>
          <w:trHeight w:val="300"/>
        </w:trPr>
        <w:tc>
          <w:tcPr>
            <w:tcW w:w="3975" w:type="dxa"/>
            <w:tcBorders>
              <w:top w:val="nil"/>
              <w:left w:val="nil"/>
              <w:bottom w:val="nil"/>
              <w:right w:val="nil"/>
            </w:tcBorders>
            <w:noWrap/>
            <w:vAlign w:val="bottom"/>
          </w:tcPr>
          <w:p w:rsidR="00031031" w:rsidRDefault="00031031" w:rsidP="006C3DA4">
            <w:pPr>
              <w:spacing w:after="0" w:line="240" w:lineRule="auto"/>
              <w:ind w:firstLineChars="100" w:firstLine="220"/>
              <w:rPr>
                <w:rFonts w:ascii="Cambria" w:hAnsi="Cambria"/>
                <w:b/>
                <w:bCs/>
                <w:color w:val="000000"/>
                <w:sz w:val="28"/>
                <w:szCs w:val="28"/>
              </w:rPr>
            </w:pPr>
            <w:r w:rsidRPr="00AB6433">
              <w:rPr>
                <w:color w:val="000000"/>
              </w:rPr>
              <w:t>Public asset income</w:t>
            </w:r>
          </w:p>
        </w:tc>
        <w:tc>
          <w:tcPr>
            <w:tcW w:w="1085" w:type="dxa"/>
            <w:gridSpan w:val="3"/>
            <w:tcBorders>
              <w:top w:val="nil"/>
              <w:left w:val="nil"/>
              <w:bottom w:val="nil"/>
              <w:right w:val="nil"/>
            </w:tcBorders>
            <w:noWrap/>
            <w:vAlign w:val="bottom"/>
          </w:tcPr>
          <w:p w:rsidR="00031031" w:rsidRPr="00AB6433" w:rsidRDefault="00031031" w:rsidP="002F5404">
            <w:pPr>
              <w:spacing w:after="0" w:line="240" w:lineRule="auto"/>
              <w:jc w:val="right"/>
              <w:rPr>
                <w:color w:val="000000"/>
              </w:rPr>
            </w:pPr>
            <w:r>
              <w:rPr>
                <w:color w:val="000000"/>
              </w:rPr>
              <w:t>–</w:t>
            </w:r>
            <w:r w:rsidRPr="00AB6433">
              <w:rPr>
                <w:color w:val="000000"/>
              </w:rPr>
              <w:t>20</w:t>
            </w:r>
          </w:p>
        </w:tc>
      </w:tr>
      <w:tr w:rsidR="00031031" w:rsidRPr="004113A4" w:rsidTr="002F5404">
        <w:trPr>
          <w:trHeight w:val="300"/>
        </w:trPr>
        <w:tc>
          <w:tcPr>
            <w:tcW w:w="4616" w:type="dxa"/>
            <w:gridSpan w:val="3"/>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AB6433">
              <w:rPr>
                <w:color w:val="000000"/>
              </w:rPr>
              <w:t>Public capital income</w:t>
            </w:r>
          </w:p>
        </w:tc>
        <w:tc>
          <w:tcPr>
            <w:tcW w:w="444" w:type="dxa"/>
            <w:tcBorders>
              <w:top w:val="nil"/>
              <w:left w:val="nil"/>
              <w:bottom w:val="nil"/>
              <w:right w:val="nil"/>
            </w:tcBorders>
            <w:noWrap/>
            <w:vAlign w:val="bottom"/>
          </w:tcPr>
          <w:p w:rsidR="00031031" w:rsidRPr="00AB6433" w:rsidRDefault="00031031" w:rsidP="002F5404">
            <w:pPr>
              <w:spacing w:after="0" w:line="240" w:lineRule="auto"/>
              <w:jc w:val="right"/>
              <w:rPr>
                <w:color w:val="000000"/>
              </w:rPr>
            </w:pPr>
            <w:r w:rsidRPr="00AB6433">
              <w:rPr>
                <w:color w:val="000000"/>
              </w:rPr>
              <w:t>0</w:t>
            </w:r>
          </w:p>
        </w:tc>
      </w:tr>
      <w:tr w:rsidR="00031031" w:rsidRPr="004113A4" w:rsidTr="002F5404">
        <w:trPr>
          <w:trHeight w:val="300"/>
        </w:trPr>
        <w:tc>
          <w:tcPr>
            <w:tcW w:w="4335" w:type="dxa"/>
            <w:gridSpan w:val="2"/>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AB6433">
              <w:rPr>
                <w:color w:val="000000"/>
              </w:rPr>
              <w:t>Public property income</w:t>
            </w:r>
          </w:p>
        </w:tc>
        <w:tc>
          <w:tcPr>
            <w:tcW w:w="725" w:type="dxa"/>
            <w:gridSpan w:val="2"/>
            <w:tcBorders>
              <w:top w:val="nil"/>
              <w:left w:val="nil"/>
              <w:bottom w:val="nil"/>
              <w:right w:val="nil"/>
            </w:tcBorders>
            <w:noWrap/>
            <w:vAlign w:val="bottom"/>
          </w:tcPr>
          <w:p w:rsidR="00031031" w:rsidRPr="00AB6433" w:rsidRDefault="00031031" w:rsidP="002F5404">
            <w:pPr>
              <w:spacing w:after="0" w:line="240" w:lineRule="auto"/>
              <w:jc w:val="right"/>
              <w:rPr>
                <w:color w:val="000000"/>
              </w:rPr>
            </w:pPr>
            <w:r>
              <w:rPr>
                <w:color w:val="000000"/>
              </w:rPr>
              <w:t>–</w:t>
            </w:r>
            <w:r w:rsidRPr="00AB6433">
              <w:rPr>
                <w:color w:val="000000"/>
              </w:rPr>
              <w:t>20</w:t>
            </w:r>
          </w:p>
        </w:tc>
      </w:tr>
      <w:tr w:rsidR="00031031" w:rsidRPr="004113A4" w:rsidTr="002F5404">
        <w:trPr>
          <w:trHeight w:val="300"/>
        </w:trPr>
        <w:tc>
          <w:tcPr>
            <w:tcW w:w="4616" w:type="dxa"/>
            <w:gridSpan w:val="3"/>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AB6433">
              <w:rPr>
                <w:color w:val="000000"/>
              </w:rPr>
              <w:t>Public property income inflows</w:t>
            </w:r>
          </w:p>
        </w:tc>
        <w:tc>
          <w:tcPr>
            <w:tcW w:w="444" w:type="dxa"/>
            <w:tcBorders>
              <w:top w:val="nil"/>
              <w:left w:val="nil"/>
              <w:bottom w:val="nil"/>
              <w:right w:val="nil"/>
            </w:tcBorders>
            <w:noWrap/>
            <w:vAlign w:val="bottom"/>
          </w:tcPr>
          <w:p w:rsidR="00031031" w:rsidRPr="00AB6433" w:rsidRDefault="00031031" w:rsidP="002F5404">
            <w:pPr>
              <w:spacing w:after="0" w:line="240" w:lineRule="auto"/>
              <w:jc w:val="right"/>
              <w:rPr>
                <w:color w:val="000000"/>
              </w:rPr>
            </w:pPr>
            <w:r w:rsidRPr="00AB6433">
              <w:rPr>
                <w:color w:val="000000"/>
              </w:rPr>
              <w:t>22</w:t>
            </w:r>
          </w:p>
        </w:tc>
      </w:tr>
      <w:tr w:rsidR="00031031" w:rsidRPr="004113A4" w:rsidTr="002F5404">
        <w:trPr>
          <w:trHeight w:val="300"/>
        </w:trPr>
        <w:tc>
          <w:tcPr>
            <w:tcW w:w="4616" w:type="dxa"/>
            <w:gridSpan w:val="3"/>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AB6433">
              <w:rPr>
                <w:color w:val="000000"/>
              </w:rPr>
              <w:t>Public property income outflows</w:t>
            </w:r>
          </w:p>
        </w:tc>
        <w:tc>
          <w:tcPr>
            <w:tcW w:w="444" w:type="dxa"/>
            <w:tcBorders>
              <w:top w:val="nil"/>
              <w:left w:val="nil"/>
              <w:bottom w:val="nil"/>
              <w:right w:val="nil"/>
            </w:tcBorders>
            <w:noWrap/>
            <w:vAlign w:val="bottom"/>
          </w:tcPr>
          <w:p w:rsidR="00031031" w:rsidRPr="00AB6433" w:rsidRDefault="00031031" w:rsidP="002F5404">
            <w:pPr>
              <w:spacing w:after="0" w:line="240" w:lineRule="auto"/>
              <w:jc w:val="right"/>
              <w:rPr>
                <w:color w:val="000000"/>
              </w:rPr>
            </w:pPr>
            <w:r w:rsidRPr="00AB6433">
              <w:rPr>
                <w:color w:val="000000"/>
              </w:rPr>
              <w:t>42</w:t>
            </w:r>
          </w:p>
        </w:tc>
      </w:tr>
      <w:tr w:rsidR="00031031" w:rsidRPr="004113A4" w:rsidTr="002F5404">
        <w:trPr>
          <w:trHeight w:val="300"/>
        </w:trPr>
        <w:tc>
          <w:tcPr>
            <w:tcW w:w="4335" w:type="dxa"/>
            <w:gridSpan w:val="2"/>
            <w:tcBorders>
              <w:top w:val="nil"/>
              <w:left w:val="nil"/>
              <w:bottom w:val="single" w:sz="4" w:space="0" w:color="auto"/>
              <w:right w:val="nil"/>
            </w:tcBorders>
            <w:noWrap/>
            <w:vAlign w:val="bottom"/>
          </w:tcPr>
          <w:p w:rsidR="00031031" w:rsidRDefault="00031031" w:rsidP="000E7694">
            <w:pPr>
              <w:spacing w:after="0" w:line="240" w:lineRule="auto"/>
              <w:ind w:firstLineChars="100" w:firstLine="220"/>
              <w:rPr>
                <w:color w:val="000000"/>
              </w:rPr>
            </w:pPr>
            <w:r w:rsidRPr="00AB6433">
              <w:rPr>
                <w:color w:val="000000"/>
              </w:rPr>
              <w:t>Public saving</w:t>
            </w:r>
          </w:p>
        </w:tc>
        <w:tc>
          <w:tcPr>
            <w:tcW w:w="725" w:type="dxa"/>
            <w:gridSpan w:val="2"/>
            <w:tcBorders>
              <w:top w:val="nil"/>
              <w:left w:val="nil"/>
              <w:bottom w:val="single" w:sz="4" w:space="0" w:color="auto"/>
              <w:right w:val="nil"/>
            </w:tcBorders>
            <w:noWrap/>
            <w:vAlign w:val="bottom"/>
          </w:tcPr>
          <w:p w:rsidR="00031031" w:rsidRPr="00AB6433" w:rsidRDefault="00031031" w:rsidP="002F5404">
            <w:pPr>
              <w:spacing w:after="0" w:line="240" w:lineRule="auto"/>
              <w:jc w:val="right"/>
              <w:rPr>
                <w:color w:val="000000"/>
              </w:rPr>
            </w:pPr>
            <w:r>
              <w:rPr>
                <w:color w:val="000000"/>
              </w:rPr>
              <w:t>–</w:t>
            </w:r>
            <w:r w:rsidRPr="00AB6433">
              <w:rPr>
                <w:color w:val="000000"/>
              </w:rPr>
              <w:t>62</w:t>
            </w:r>
          </w:p>
        </w:tc>
      </w:tr>
    </w:tbl>
    <w:p w:rsidR="00031031" w:rsidRDefault="00031031" w:rsidP="002F5404"/>
    <w:p w:rsidR="00031031" w:rsidRDefault="00031031" w:rsidP="002F5404">
      <w:r>
        <w:t xml:space="preserve">Private asset–based reallocations are reported in table 4.13. The components of private asset income are based on private sector values reported in table 4.6. Private capital income is equal to capital income generated by businesses and capital income generated by owner occupied housing. Private property income outflows are equal to consumer credit (interest paid by households) and all other property income outflows. Private property income is equal to property income inflows less outflows. Private asset–based reallocations are equal to private asset income less private saving. </w:t>
      </w:r>
    </w:p>
    <w:tbl>
      <w:tblPr>
        <w:tblW w:w="6126" w:type="dxa"/>
        <w:tblInd w:w="93" w:type="dxa"/>
        <w:tblLook w:val="00A0"/>
      </w:tblPr>
      <w:tblGrid>
        <w:gridCol w:w="5575"/>
        <w:gridCol w:w="551"/>
      </w:tblGrid>
      <w:tr w:rsidR="00031031" w:rsidRPr="004113A4" w:rsidTr="0019470E">
        <w:trPr>
          <w:trHeight w:val="300"/>
        </w:trPr>
        <w:tc>
          <w:tcPr>
            <w:tcW w:w="6126" w:type="dxa"/>
            <w:gridSpan w:val="2"/>
            <w:tcBorders>
              <w:top w:val="nil"/>
              <w:left w:val="nil"/>
              <w:bottom w:val="single" w:sz="4" w:space="0" w:color="auto"/>
              <w:right w:val="nil"/>
            </w:tcBorders>
            <w:noWrap/>
            <w:vAlign w:val="bottom"/>
          </w:tcPr>
          <w:p w:rsidR="00031031" w:rsidRPr="002C411C" w:rsidRDefault="00031031" w:rsidP="002F5404">
            <w:pPr>
              <w:spacing w:after="0" w:line="240" w:lineRule="auto"/>
              <w:rPr>
                <w:color w:val="000000"/>
              </w:rPr>
            </w:pPr>
            <w:r>
              <w:rPr>
                <w:color w:val="000000"/>
              </w:rPr>
              <w:t>Table 4.13.</w:t>
            </w:r>
            <w:r w:rsidRPr="002C411C">
              <w:rPr>
                <w:color w:val="000000"/>
              </w:rPr>
              <w:t xml:space="preserve"> Aggregate private asset</w:t>
            </w:r>
            <w:r>
              <w:rPr>
                <w:color w:val="000000"/>
              </w:rPr>
              <w:t>–</w:t>
            </w:r>
            <w:r w:rsidRPr="002C411C">
              <w:rPr>
                <w:color w:val="000000"/>
              </w:rPr>
              <w:t>based reallocations</w:t>
            </w:r>
          </w:p>
        </w:tc>
      </w:tr>
      <w:tr w:rsidR="00031031" w:rsidRPr="004113A4" w:rsidTr="0019470E">
        <w:trPr>
          <w:trHeight w:val="300"/>
        </w:trPr>
        <w:tc>
          <w:tcPr>
            <w:tcW w:w="5575" w:type="dxa"/>
            <w:tcBorders>
              <w:top w:val="single" w:sz="4" w:space="0" w:color="auto"/>
              <w:left w:val="nil"/>
              <w:bottom w:val="nil"/>
              <w:right w:val="nil"/>
            </w:tcBorders>
            <w:noWrap/>
            <w:vAlign w:val="bottom"/>
          </w:tcPr>
          <w:p w:rsidR="00031031" w:rsidRPr="002C411C" w:rsidRDefault="00031031" w:rsidP="002F5404">
            <w:pPr>
              <w:spacing w:after="0" w:line="240" w:lineRule="auto"/>
              <w:rPr>
                <w:color w:val="000000"/>
              </w:rPr>
            </w:pPr>
            <w:r w:rsidRPr="002C411C">
              <w:rPr>
                <w:color w:val="000000"/>
              </w:rPr>
              <w:t>Private asset</w:t>
            </w:r>
            <w:r>
              <w:rPr>
                <w:color w:val="000000"/>
              </w:rPr>
              <w:t>–</w:t>
            </w:r>
            <w:r w:rsidRPr="002C411C">
              <w:rPr>
                <w:color w:val="000000"/>
              </w:rPr>
              <w:t>base</w:t>
            </w:r>
            <w:r>
              <w:rPr>
                <w:color w:val="000000"/>
              </w:rPr>
              <w:t>d</w:t>
            </w:r>
            <w:r w:rsidRPr="002C411C">
              <w:rPr>
                <w:color w:val="000000"/>
              </w:rPr>
              <w:t xml:space="preserve"> reallocations</w:t>
            </w:r>
          </w:p>
        </w:tc>
        <w:tc>
          <w:tcPr>
            <w:tcW w:w="551" w:type="dxa"/>
            <w:tcBorders>
              <w:top w:val="nil"/>
              <w:left w:val="nil"/>
              <w:bottom w:val="nil"/>
              <w:right w:val="nil"/>
            </w:tcBorders>
            <w:noWrap/>
            <w:vAlign w:val="bottom"/>
          </w:tcPr>
          <w:p w:rsidR="00031031" w:rsidRPr="002C411C" w:rsidRDefault="00031031" w:rsidP="002F5404">
            <w:pPr>
              <w:spacing w:after="0" w:line="240" w:lineRule="auto"/>
              <w:jc w:val="right"/>
              <w:rPr>
                <w:color w:val="000000"/>
              </w:rPr>
            </w:pPr>
            <w:r w:rsidRPr="002C411C">
              <w:rPr>
                <w:color w:val="000000"/>
              </w:rPr>
              <w:t>26</w:t>
            </w:r>
          </w:p>
        </w:tc>
      </w:tr>
      <w:tr w:rsidR="00031031" w:rsidRPr="004113A4" w:rsidTr="0019470E">
        <w:trPr>
          <w:trHeight w:val="300"/>
        </w:trPr>
        <w:tc>
          <w:tcPr>
            <w:tcW w:w="5575" w:type="dxa"/>
            <w:tcBorders>
              <w:top w:val="nil"/>
              <w:left w:val="nil"/>
              <w:bottom w:val="nil"/>
              <w:right w:val="nil"/>
            </w:tcBorders>
            <w:noWrap/>
            <w:vAlign w:val="bottom"/>
          </w:tcPr>
          <w:p w:rsidR="00031031" w:rsidRPr="002C411C" w:rsidRDefault="00031031" w:rsidP="002F5404">
            <w:pPr>
              <w:spacing w:after="0" w:line="240" w:lineRule="auto"/>
              <w:rPr>
                <w:color w:val="000000"/>
              </w:rPr>
            </w:pPr>
            <w:r w:rsidRPr="002C411C">
              <w:rPr>
                <w:color w:val="000000"/>
              </w:rPr>
              <w:t>Private asset income</w:t>
            </w:r>
          </w:p>
        </w:tc>
        <w:tc>
          <w:tcPr>
            <w:tcW w:w="551" w:type="dxa"/>
            <w:tcBorders>
              <w:top w:val="nil"/>
              <w:left w:val="nil"/>
              <w:bottom w:val="nil"/>
              <w:right w:val="nil"/>
            </w:tcBorders>
            <w:noWrap/>
            <w:vAlign w:val="bottom"/>
          </w:tcPr>
          <w:p w:rsidR="00031031" w:rsidRPr="002C411C" w:rsidRDefault="00031031" w:rsidP="002F5404">
            <w:pPr>
              <w:spacing w:after="0" w:line="240" w:lineRule="auto"/>
              <w:jc w:val="right"/>
              <w:rPr>
                <w:color w:val="000000"/>
              </w:rPr>
            </w:pPr>
            <w:r w:rsidRPr="002C411C">
              <w:rPr>
                <w:color w:val="000000"/>
              </w:rPr>
              <w:t>293</w:t>
            </w:r>
          </w:p>
        </w:tc>
      </w:tr>
      <w:tr w:rsidR="00031031" w:rsidRPr="004113A4" w:rsidTr="0019470E">
        <w:trPr>
          <w:trHeight w:val="300"/>
        </w:trPr>
        <w:tc>
          <w:tcPr>
            <w:tcW w:w="5575"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2C411C">
              <w:rPr>
                <w:color w:val="000000"/>
              </w:rPr>
              <w:t>Private capital income</w:t>
            </w:r>
          </w:p>
        </w:tc>
        <w:tc>
          <w:tcPr>
            <w:tcW w:w="551" w:type="dxa"/>
            <w:tcBorders>
              <w:top w:val="nil"/>
              <w:left w:val="nil"/>
              <w:bottom w:val="nil"/>
              <w:right w:val="nil"/>
            </w:tcBorders>
            <w:noWrap/>
            <w:vAlign w:val="bottom"/>
          </w:tcPr>
          <w:p w:rsidR="00031031" w:rsidRPr="002C411C" w:rsidRDefault="00031031" w:rsidP="002F5404">
            <w:pPr>
              <w:spacing w:after="0" w:line="240" w:lineRule="auto"/>
              <w:jc w:val="right"/>
              <w:rPr>
                <w:color w:val="000000"/>
              </w:rPr>
            </w:pPr>
            <w:r w:rsidRPr="002C411C">
              <w:rPr>
                <w:color w:val="000000"/>
              </w:rPr>
              <w:t>267</w:t>
            </w:r>
          </w:p>
        </w:tc>
      </w:tr>
      <w:tr w:rsidR="00031031" w:rsidRPr="004113A4" w:rsidTr="0019470E">
        <w:trPr>
          <w:trHeight w:val="300"/>
        </w:trPr>
        <w:tc>
          <w:tcPr>
            <w:tcW w:w="5575"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2C411C">
              <w:rPr>
                <w:color w:val="000000"/>
              </w:rPr>
              <w:t>Private capital income, business and non-profits</w:t>
            </w:r>
          </w:p>
        </w:tc>
        <w:tc>
          <w:tcPr>
            <w:tcW w:w="551" w:type="dxa"/>
            <w:tcBorders>
              <w:top w:val="nil"/>
              <w:left w:val="nil"/>
              <w:bottom w:val="nil"/>
              <w:right w:val="nil"/>
            </w:tcBorders>
            <w:noWrap/>
            <w:vAlign w:val="bottom"/>
          </w:tcPr>
          <w:p w:rsidR="00031031" w:rsidRPr="002C411C" w:rsidRDefault="00031031" w:rsidP="002F5404">
            <w:pPr>
              <w:spacing w:after="0" w:line="240" w:lineRule="auto"/>
              <w:jc w:val="right"/>
              <w:rPr>
                <w:color w:val="000000"/>
              </w:rPr>
            </w:pPr>
            <w:r w:rsidRPr="002C411C">
              <w:rPr>
                <w:color w:val="000000"/>
              </w:rPr>
              <w:t>198</w:t>
            </w:r>
          </w:p>
        </w:tc>
      </w:tr>
      <w:tr w:rsidR="00031031" w:rsidRPr="004113A4" w:rsidTr="0019470E">
        <w:trPr>
          <w:trHeight w:val="300"/>
        </w:trPr>
        <w:tc>
          <w:tcPr>
            <w:tcW w:w="5575"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2C411C">
              <w:rPr>
                <w:color w:val="000000"/>
              </w:rPr>
              <w:t>Private capital income, owner occupied housing</w:t>
            </w:r>
          </w:p>
        </w:tc>
        <w:tc>
          <w:tcPr>
            <w:tcW w:w="551" w:type="dxa"/>
            <w:tcBorders>
              <w:top w:val="nil"/>
              <w:left w:val="nil"/>
              <w:bottom w:val="nil"/>
              <w:right w:val="nil"/>
            </w:tcBorders>
            <w:noWrap/>
            <w:vAlign w:val="bottom"/>
          </w:tcPr>
          <w:p w:rsidR="00031031" w:rsidRPr="002C411C" w:rsidRDefault="00031031" w:rsidP="002F5404">
            <w:pPr>
              <w:spacing w:after="0" w:line="240" w:lineRule="auto"/>
              <w:jc w:val="right"/>
              <w:rPr>
                <w:color w:val="000000"/>
              </w:rPr>
            </w:pPr>
            <w:r w:rsidRPr="002C411C">
              <w:rPr>
                <w:color w:val="000000"/>
              </w:rPr>
              <w:t>69</w:t>
            </w:r>
          </w:p>
        </w:tc>
      </w:tr>
      <w:tr w:rsidR="00031031" w:rsidRPr="004113A4" w:rsidTr="0019470E">
        <w:trPr>
          <w:trHeight w:val="300"/>
        </w:trPr>
        <w:tc>
          <w:tcPr>
            <w:tcW w:w="5575"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2C411C">
              <w:rPr>
                <w:color w:val="000000"/>
              </w:rPr>
              <w:t>Private property income</w:t>
            </w:r>
          </w:p>
        </w:tc>
        <w:tc>
          <w:tcPr>
            <w:tcW w:w="551" w:type="dxa"/>
            <w:tcBorders>
              <w:top w:val="nil"/>
              <w:left w:val="nil"/>
              <w:bottom w:val="nil"/>
              <w:right w:val="nil"/>
            </w:tcBorders>
            <w:noWrap/>
            <w:vAlign w:val="bottom"/>
          </w:tcPr>
          <w:p w:rsidR="00031031" w:rsidRPr="002C411C" w:rsidRDefault="00031031" w:rsidP="002F5404">
            <w:pPr>
              <w:spacing w:after="0" w:line="240" w:lineRule="auto"/>
              <w:jc w:val="right"/>
              <w:rPr>
                <w:color w:val="000000"/>
              </w:rPr>
            </w:pPr>
            <w:r w:rsidRPr="002C411C">
              <w:rPr>
                <w:color w:val="000000"/>
              </w:rPr>
              <w:t>26</w:t>
            </w:r>
          </w:p>
        </w:tc>
      </w:tr>
      <w:tr w:rsidR="00031031" w:rsidRPr="004113A4" w:rsidTr="0019470E">
        <w:trPr>
          <w:trHeight w:val="300"/>
        </w:trPr>
        <w:tc>
          <w:tcPr>
            <w:tcW w:w="5575"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2C411C">
              <w:rPr>
                <w:color w:val="000000"/>
              </w:rPr>
              <w:t>Private property income inflows</w:t>
            </w:r>
          </w:p>
        </w:tc>
        <w:tc>
          <w:tcPr>
            <w:tcW w:w="551" w:type="dxa"/>
            <w:tcBorders>
              <w:top w:val="nil"/>
              <w:left w:val="nil"/>
              <w:bottom w:val="nil"/>
              <w:right w:val="nil"/>
            </w:tcBorders>
            <w:noWrap/>
            <w:vAlign w:val="bottom"/>
          </w:tcPr>
          <w:p w:rsidR="00031031" w:rsidRPr="002C411C" w:rsidRDefault="00031031" w:rsidP="002F5404">
            <w:pPr>
              <w:spacing w:after="0" w:line="240" w:lineRule="auto"/>
              <w:jc w:val="right"/>
              <w:rPr>
                <w:color w:val="000000"/>
              </w:rPr>
            </w:pPr>
            <w:r w:rsidRPr="002C411C">
              <w:rPr>
                <w:color w:val="000000"/>
              </w:rPr>
              <w:t>375</w:t>
            </w:r>
          </w:p>
        </w:tc>
      </w:tr>
      <w:tr w:rsidR="00031031" w:rsidRPr="004113A4" w:rsidTr="0019470E">
        <w:trPr>
          <w:trHeight w:val="300"/>
        </w:trPr>
        <w:tc>
          <w:tcPr>
            <w:tcW w:w="5575"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2C411C">
              <w:rPr>
                <w:color w:val="000000"/>
              </w:rPr>
              <w:t>Private property income outflows</w:t>
            </w:r>
          </w:p>
        </w:tc>
        <w:tc>
          <w:tcPr>
            <w:tcW w:w="551" w:type="dxa"/>
            <w:tcBorders>
              <w:top w:val="nil"/>
              <w:left w:val="nil"/>
              <w:bottom w:val="nil"/>
              <w:right w:val="nil"/>
            </w:tcBorders>
            <w:noWrap/>
            <w:vAlign w:val="bottom"/>
          </w:tcPr>
          <w:p w:rsidR="00031031" w:rsidRPr="002C411C" w:rsidRDefault="00031031" w:rsidP="002F5404">
            <w:pPr>
              <w:spacing w:after="0" w:line="240" w:lineRule="auto"/>
              <w:jc w:val="right"/>
              <w:rPr>
                <w:color w:val="000000"/>
              </w:rPr>
            </w:pPr>
            <w:r w:rsidRPr="002C411C">
              <w:rPr>
                <w:color w:val="000000"/>
              </w:rPr>
              <w:t>349</w:t>
            </w:r>
          </w:p>
        </w:tc>
      </w:tr>
      <w:tr w:rsidR="00031031" w:rsidRPr="004113A4" w:rsidTr="0019470E">
        <w:trPr>
          <w:trHeight w:val="300"/>
        </w:trPr>
        <w:tc>
          <w:tcPr>
            <w:tcW w:w="5575"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2C411C">
              <w:rPr>
                <w:color w:val="000000"/>
              </w:rPr>
              <w:t>Consumer credit</w:t>
            </w:r>
          </w:p>
        </w:tc>
        <w:tc>
          <w:tcPr>
            <w:tcW w:w="551" w:type="dxa"/>
            <w:tcBorders>
              <w:top w:val="nil"/>
              <w:left w:val="nil"/>
              <w:bottom w:val="nil"/>
              <w:right w:val="nil"/>
            </w:tcBorders>
            <w:noWrap/>
            <w:vAlign w:val="bottom"/>
          </w:tcPr>
          <w:p w:rsidR="00031031" w:rsidRPr="002C411C" w:rsidRDefault="00031031" w:rsidP="002F5404">
            <w:pPr>
              <w:spacing w:after="0" w:line="240" w:lineRule="auto"/>
              <w:jc w:val="right"/>
              <w:rPr>
                <w:color w:val="000000"/>
              </w:rPr>
            </w:pPr>
            <w:r w:rsidRPr="002C411C">
              <w:rPr>
                <w:color w:val="000000"/>
              </w:rPr>
              <w:t>14</w:t>
            </w:r>
          </w:p>
        </w:tc>
      </w:tr>
      <w:tr w:rsidR="00031031" w:rsidRPr="004113A4" w:rsidTr="0019470E">
        <w:trPr>
          <w:trHeight w:val="300"/>
        </w:trPr>
        <w:tc>
          <w:tcPr>
            <w:tcW w:w="5575"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2C411C">
              <w:rPr>
                <w:color w:val="000000"/>
              </w:rPr>
              <w:t>Other private property income outflows</w:t>
            </w:r>
          </w:p>
        </w:tc>
        <w:tc>
          <w:tcPr>
            <w:tcW w:w="551" w:type="dxa"/>
            <w:tcBorders>
              <w:top w:val="nil"/>
              <w:left w:val="nil"/>
              <w:bottom w:val="nil"/>
              <w:right w:val="nil"/>
            </w:tcBorders>
            <w:noWrap/>
            <w:vAlign w:val="bottom"/>
          </w:tcPr>
          <w:p w:rsidR="00031031" w:rsidRPr="002C411C" w:rsidRDefault="00031031" w:rsidP="002F5404">
            <w:pPr>
              <w:spacing w:after="0" w:line="240" w:lineRule="auto"/>
              <w:jc w:val="right"/>
              <w:rPr>
                <w:color w:val="000000"/>
              </w:rPr>
            </w:pPr>
            <w:r w:rsidRPr="002C411C">
              <w:rPr>
                <w:color w:val="000000"/>
              </w:rPr>
              <w:t>335</w:t>
            </w:r>
          </w:p>
        </w:tc>
      </w:tr>
      <w:tr w:rsidR="00031031" w:rsidRPr="004113A4" w:rsidTr="0019470E">
        <w:trPr>
          <w:trHeight w:val="300"/>
        </w:trPr>
        <w:tc>
          <w:tcPr>
            <w:tcW w:w="5575" w:type="dxa"/>
            <w:tcBorders>
              <w:top w:val="nil"/>
              <w:left w:val="nil"/>
              <w:bottom w:val="single" w:sz="4" w:space="0" w:color="auto"/>
              <w:right w:val="nil"/>
            </w:tcBorders>
            <w:noWrap/>
            <w:vAlign w:val="bottom"/>
          </w:tcPr>
          <w:p w:rsidR="00031031" w:rsidRPr="002C411C" w:rsidRDefault="00031031" w:rsidP="002F5404">
            <w:pPr>
              <w:spacing w:after="0" w:line="240" w:lineRule="auto"/>
              <w:rPr>
                <w:color w:val="000000"/>
              </w:rPr>
            </w:pPr>
            <w:r w:rsidRPr="002C411C">
              <w:rPr>
                <w:color w:val="000000"/>
              </w:rPr>
              <w:t>Private saving</w:t>
            </w:r>
          </w:p>
        </w:tc>
        <w:tc>
          <w:tcPr>
            <w:tcW w:w="551" w:type="dxa"/>
            <w:tcBorders>
              <w:top w:val="nil"/>
              <w:left w:val="nil"/>
              <w:bottom w:val="single" w:sz="4" w:space="0" w:color="auto"/>
              <w:right w:val="nil"/>
            </w:tcBorders>
            <w:noWrap/>
            <w:vAlign w:val="bottom"/>
          </w:tcPr>
          <w:p w:rsidR="00031031" w:rsidRPr="002C411C" w:rsidRDefault="00031031" w:rsidP="002F5404">
            <w:pPr>
              <w:spacing w:after="0" w:line="240" w:lineRule="auto"/>
              <w:jc w:val="right"/>
              <w:rPr>
                <w:color w:val="000000"/>
              </w:rPr>
            </w:pPr>
            <w:r w:rsidRPr="002C411C">
              <w:rPr>
                <w:color w:val="000000"/>
              </w:rPr>
              <w:t>267</w:t>
            </w:r>
          </w:p>
        </w:tc>
      </w:tr>
    </w:tbl>
    <w:p w:rsidR="00031031" w:rsidRDefault="00031031" w:rsidP="002F5404"/>
    <w:p w:rsidR="00031031" w:rsidRDefault="00031031" w:rsidP="002F5404">
      <w:pPr>
        <w:pStyle w:val="Heading2"/>
      </w:pPr>
      <w:r>
        <w:lastRenderedPageBreak/>
        <w:t>4.4.3 Calculating transfers</w:t>
      </w:r>
    </w:p>
    <w:p w:rsidR="00031031" w:rsidRDefault="00031031" w:rsidP="002F5404">
      <w:r>
        <w:t>The key source of information for constructing estimates of NTA transfers is the s</w:t>
      </w:r>
      <w:r w:rsidRPr="006C3DA4">
        <w:t xml:space="preserve">econdary </w:t>
      </w:r>
      <w:r>
        <w:t>d</w:t>
      </w:r>
      <w:r w:rsidRPr="006C3DA4">
        <w:t xml:space="preserve">istribution of </w:t>
      </w:r>
      <w:r>
        <w:t>i</w:t>
      </w:r>
      <w:r w:rsidRPr="006C3DA4">
        <w:t xml:space="preserve">ncome </w:t>
      </w:r>
      <w:r>
        <w:t>a</w:t>
      </w:r>
      <w:r w:rsidRPr="006C3DA4">
        <w:t>ccount</w:t>
      </w:r>
      <w:r>
        <w:rPr>
          <w:i/>
        </w:rPr>
        <w:t xml:space="preserve"> </w:t>
      </w:r>
      <w:r w:rsidRPr="005B4F6C">
        <w:t xml:space="preserve">in the System of National Accounts </w:t>
      </w:r>
      <w:r>
        <w:t xml:space="preserve">presented in simplified form in table 4.14. As previously, private flows include all flows to financial and non-financial corporations, households and NPISHs. </w:t>
      </w:r>
    </w:p>
    <w:p w:rsidR="00031031" w:rsidRDefault="00D00BD1" w:rsidP="002F5404">
      <w:r>
        <w:pict>
          <v:shape id="_x0000_i1032" type="#_x0000_t75" style="width:458.4pt;height:116.8pt">
            <v:imagedata r:id="rId17" o:title=""/>
          </v:shape>
        </w:pict>
      </w:r>
    </w:p>
    <w:p w:rsidR="00031031" w:rsidRDefault="00031031" w:rsidP="002F5404">
      <w:r>
        <w:t>SNA data can be used to construct complete aggregate controls for public transfers. Information about private transfers is more limited, but still useful.</w:t>
      </w:r>
    </w:p>
    <w:p w:rsidR="00031031" w:rsidRDefault="00031031" w:rsidP="002F5404">
      <w:r>
        <w:t>The treatment of transfers in NTA differs from SNA in several important regards. First, public transfers in NTA are more broadly defined that in SNA. NTA public transfers include t</w:t>
      </w:r>
      <w:r w:rsidRPr="006C3DA4">
        <w:t>axes on products and production</w:t>
      </w:r>
      <w:r w:rsidRPr="00235AD4">
        <w:t xml:space="preserve"> less </w:t>
      </w:r>
      <w:r>
        <w:t>s</w:t>
      </w:r>
      <w:r w:rsidRPr="006C3DA4">
        <w:t>ubsidies.</w:t>
      </w:r>
      <w:r>
        <w:rPr>
          <w:i/>
        </w:rPr>
        <w:t xml:space="preserve"> </w:t>
      </w:r>
      <w:r>
        <w:t xml:space="preserve">Also, all public consumption is classified as an in-kind public transfer. </w:t>
      </w:r>
    </w:p>
    <w:p w:rsidR="00031031" w:rsidRDefault="00031031" w:rsidP="002F5404">
      <w:r>
        <w:t xml:space="preserve">A second distinction is that in NTA transfers are classified based on intersectoral features of the flows. Public transfers refer to flows between the private and the public sectors or between the public sector and ROW. Private flows refer to transfers within the private sector and transfers between the private sector and the ROW. The remaining flows, those within the public sector, involve no age reallocations and are not included in NTA. </w:t>
      </w:r>
    </w:p>
    <w:p w:rsidR="00031031" w:rsidRDefault="00031031" w:rsidP="002F5404">
      <w:r>
        <w:t xml:space="preserve">Table 4.15 is constructed as an intermediate step to constructing aggregate transfers. It follows the same structure as SNA secondary distribution of income, it includes all flows defined as transfers in NTA and it classifies all transfers into four categories: transfers between public and private, public and ROW, private and ROW, and within private. Transfers within government are noted and used to check consistency with the SNA secondary distribution of income account. </w:t>
      </w:r>
    </w:p>
    <w:p w:rsidR="00031031" w:rsidRDefault="00E502E9" w:rsidP="002F5404">
      <w:r>
        <w:rPr>
          <w:noProof/>
        </w:rPr>
        <w:lastRenderedPageBreak/>
        <w:pict>
          <v:shape id="Picture 17" o:spid="_x0000_i1033" type="#_x0000_t75" style="width:510.4pt;height:277.6pt;visibility:visible">
            <v:imagedata r:id="rId18" o:title=""/>
          </v:shape>
        </w:pict>
      </w:r>
    </w:p>
    <w:p w:rsidR="00031031" w:rsidRDefault="00031031" w:rsidP="002F5404">
      <w:r>
        <w:t xml:space="preserve">Taxes less subsidies on products and production are classified as a use of resources for the private sector and a resource for general government in much the same way as other taxes. These flows could include transfers from the ROW to general government, but in the case of UNSNA all taxes fall on residents. Thus, the flows are entered as transfers between public and private and not transfers between public and ROW. Current taxes on income, wealth, etc. are taken directly from the SNA secondary distribution of income account. Of the resources of general government reported in SNA (213), 212 can be classified as a public/private transfer based on the private uses entry and 1 can be classified as public/ROW based on the ROW uses entry. </w:t>
      </w:r>
    </w:p>
    <w:p w:rsidR="00031031" w:rsidRDefault="00031031" w:rsidP="002F5404">
      <w:r>
        <w:t xml:space="preserve">Net social contributions include public/private flows of 50 and private/private flows of 283. The classification is based on the SNA entry of 50 for resources of general government and 283 for resources of the private sector. Public transfers, in-kind are an NTA entry equal to public consumption adjusted to exclude taxes less subsidies on products as explained above. This is classified as a use for general government and a resource for the private sector and is entered as a public/private transfer. </w:t>
      </w:r>
    </w:p>
    <w:p w:rsidR="00031031" w:rsidRDefault="00031031" w:rsidP="002F5404">
      <w:r>
        <w:t xml:space="preserve">Other current transfers involve a variety of flows and classifying them involves more detailed calculations. A more detailed set of components of other current transfer is useful for carrying out the necessary steps (see table 4.16). Two components of other current transfers can be directly classified. Current transfers within government (96) are classified as within public transfers and entered in table 4.15 as “transactions within government”. These are only used as a check. Current international cooperation are classified as public/ROW transfers and a portion of “other current transfers public/ROW”. </w:t>
      </w:r>
    </w:p>
    <w:p w:rsidR="00031031" w:rsidRDefault="00031031" w:rsidP="002F5404">
      <w:r>
        <w:t xml:space="preserve"> </w:t>
      </w:r>
    </w:p>
    <w:p w:rsidR="00031031" w:rsidRPr="00F34D87" w:rsidRDefault="00D00BD1" w:rsidP="002F5404">
      <w:r>
        <w:lastRenderedPageBreak/>
        <w:pict>
          <v:shape id="_x0000_i1034" type="#_x0000_t75" style="width:466.4pt;height:114.4pt">
            <v:imagedata r:id="rId19" o:title=""/>
          </v:shape>
        </w:pict>
      </w:r>
    </w:p>
    <w:p w:rsidR="00031031" w:rsidRDefault="00031031" w:rsidP="002F5404">
      <w:r>
        <w:t xml:space="preserve">In the absence of additional information about the other flows included in other current transfers an approximation method is used to estimate the intersectoral flows. Other current transfers excluding current transfers with government and current international cooperation are arranged in table 4.17. The total inflows and outflows are 171 with the sectoral distribution as reported. ROW/ROW is shaded as transactions external to the economy are not included in national accounts. The ROW/private and ROW/public flows are calculated using a simple procedure. The outflows from ROW (15) are assumed to be proportional to the inflows to the private and public sectors. Likewise, the inflows to ROW (24) are assumed to be proportional the outflows from the private and government sectors. </w:t>
      </w:r>
    </w:p>
    <w:tbl>
      <w:tblPr>
        <w:tblW w:w="5460" w:type="dxa"/>
        <w:tblInd w:w="93" w:type="dxa"/>
        <w:tblLook w:val="00A0"/>
      </w:tblPr>
      <w:tblGrid>
        <w:gridCol w:w="1359"/>
        <w:gridCol w:w="551"/>
        <w:gridCol w:w="1125"/>
        <w:gridCol w:w="843"/>
        <w:gridCol w:w="876"/>
        <w:gridCol w:w="716"/>
      </w:tblGrid>
      <w:tr w:rsidR="00031031" w:rsidRPr="004113A4" w:rsidTr="008A5FDC">
        <w:trPr>
          <w:trHeight w:val="570"/>
        </w:trPr>
        <w:tc>
          <w:tcPr>
            <w:tcW w:w="5460" w:type="dxa"/>
            <w:gridSpan w:val="6"/>
            <w:tcBorders>
              <w:top w:val="nil"/>
              <w:left w:val="nil"/>
              <w:bottom w:val="single" w:sz="4" w:space="0" w:color="auto"/>
              <w:right w:val="nil"/>
            </w:tcBorders>
            <w:vAlign w:val="bottom"/>
          </w:tcPr>
          <w:p w:rsidR="00031031" w:rsidRPr="008A5FDC" w:rsidRDefault="00031031" w:rsidP="008A5FDC">
            <w:pPr>
              <w:spacing w:after="0" w:line="240" w:lineRule="auto"/>
              <w:rPr>
                <w:color w:val="000000"/>
              </w:rPr>
            </w:pPr>
            <w:r w:rsidRPr="008A5FDC">
              <w:rPr>
                <w:color w:val="000000"/>
              </w:rPr>
              <w:t>Table 4.17</w:t>
            </w:r>
            <w:r>
              <w:rPr>
                <w:color w:val="000000"/>
              </w:rPr>
              <w:t>.</w:t>
            </w:r>
            <w:r w:rsidRPr="008A5FDC">
              <w:rPr>
                <w:color w:val="000000"/>
              </w:rPr>
              <w:t xml:space="preserve"> Other current transfers excluding current transfers within government and current international cooperation</w:t>
            </w:r>
          </w:p>
        </w:tc>
      </w:tr>
      <w:tr w:rsidR="00031031" w:rsidRPr="004113A4" w:rsidTr="008A5FDC">
        <w:trPr>
          <w:trHeight w:val="300"/>
        </w:trPr>
        <w:tc>
          <w:tcPr>
            <w:tcW w:w="1900" w:type="dxa"/>
            <w:gridSpan w:val="2"/>
            <w:vMerge w:val="restart"/>
            <w:tcBorders>
              <w:top w:val="single" w:sz="4" w:space="0" w:color="auto"/>
              <w:left w:val="nil"/>
              <w:bottom w:val="nil"/>
              <w:right w:val="nil"/>
            </w:tcBorders>
            <w:noWrap/>
            <w:vAlign w:val="bottom"/>
          </w:tcPr>
          <w:p w:rsidR="00031031" w:rsidRPr="008A5FDC" w:rsidRDefault="00031031" w:rsidP="008A5FDC">
            <w:pPr>
              <w:spacing w:after="0" w:line="240" w:lineRule="auto"/>
              <w:jc w:val="center"/>
              <w:rPr>
                <w:color w:val="000000"/>
              </w:rPr>
            </w:pPr>
            <w:r w:rsidRPr="008A5FDC">
              <w:rPr>
                <w:color w:val="000000"/>
              </w:rPr>
              <w:t> </w:t>
            </w:r>
          </w:p>
        </w:tc>
        <w:tc>
          <w:tcPr>
            <w:tcW w:w="3560" w:type="dxa"/>
            <w:gridSpan w:val="4"/>
            <w:tcBorders>
              <w:top w:val="nil"/>
              <w:left w:val="nil"/>
              <w:bottom w:val="single" w:sz="4" w:space="0" w:color="auto"/>
              <w:right w:val="nil"/>
            </w:tcBorders>
            <w:noWrap/>
            <w:vAlign w:val="bottom"/>
          </w:tcPr>
          <w:p w:rsidR="00031031" w:rsidRPr="008A5FDC" w:rsidRDefault="00031031" w:rsidP="008A5FDC">
            <w:pPr>
              <w:spacing w:after="0" w:line="240" w:lineRule="auto"/>
              <w:jc w:val="center"/>
              <w:rPr>
                <w:color w:val="000000"/>
              </w:rPr>
            </w:pPr>
            <w:r w:rsidRPr="008A5FDC">
              <w:rPr>
                <w:color w:val="000000"/>
              </w:rPr>
              <w:t>Outflows from</w:t>
            </w:r>
          </w:p>
        </w:tc>
      </w:tr>
      <w:tr w:rsidR="00031031" w:rsidRPr="004113A4" w:rsidTr="008A5FDC">
        <w:trPr>
          <w:trHeight w:val="300"/>
        </w:trPr>
        <w:tc>
          <w:tcPr>
            <w:tcW w:w="1900" w:type="dxa"/>
            <w:gridSpan w:val="2"/>
            <w:vMerge/>
            <w:tcBorders>
              <w:top w:val="single" w:sz="4" w:space="0" w:color="auto"/>
              <w:left w:val="nil"/>
              <w:bottom w:val="nil"/>
              <w:right w:val="nil"/>
            </w:tcBorders>
            <w:vAlign w:val="center"/>
          </w:tcPr>
          <w:p w:rsidR="00031031" w:rsidRPr="008A5FDC" w:rsidRDefault="00031031" w:rsidP="008A5FDC">
            <w:pPr>
              <w:spacing w:after="0" w:line="240" w:lineRule="auto"/>
              <w:rPr>
                <w:color w:val="000000"/>
              </w:rPr>
            </w:pPr>
          </w:p>
        </w:tc>
        <w:tc>
          <w:tcPr>
            <w:tcW w:w="1125"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Pr>
                <w:color w:val="000000"/>
              </w:rPr>
              <w:t xml:space="preserve"> </w:t>
            </w:r>
            <w:r w:rsidRPr="008A5FDC">
              <w:rPr>
                <w:color w:val="000000"/>
              </w:rPr>
              <w:t>Private</w:t>
            </w:r>
          </w:p>
        </w:tc>
        <w:tc>
          <w:tcPr>
            <w:tcW w:w="843"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sidRPr="008A5FDC">
              <w:rPr>
                <w:color w:val="000000"/>
              </w:rPr>
              <w:t>Public</w:t>
            </w:r>
          </w:p>
        </w:tc>
        <w:tc>
          <w:tcPr>
            <w:tcW w:w="876"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Pr>
                <w:color w:val="000000"/>
              </w:rPr>
              <w:t xml:space="preserve"> </w:t>
            </w:r>
            <w:r w:rsidRPr="008A5FDC">
              <w:rPr>
                <w:color w:val="000000"/>
              </w:rPr>
              <w:t xml:space="preserve">ROW </w:t>
            </w:r>
          </w:p>
        </w:tc>
        <w:tc>
          <w:tcPr>
            <w:tcW w:w="716"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sidRPr="008A5FDC">
              <w:rPr>
                <w:color w:val="000000"/>
              </w:rPr>
              <w:t>Total</w:t>
            </w:r>
          </w:p>
        </w:tc>
      </w:tr>
      <w:tr w:rsidR="00031031" w:rsidRPr="004113A4" w:rsidTr="008A5FDC">
        <w:trPr>
          <w:trHeight w:val="300"/>
        </w:trPr>
        <w:tc>
          <w:tcPr>
            <w:tcW w:w="1359" w:type="dxa"/>
            <w:tcBorders>
              <w:top w:val="nil"/>
              <w:left w:val="nil"/>
              <w:bottom w:val="single" w:sz="4" w:space="0" w:color="auto"/>
              <w:right w:val="nil"/>
            </w:tcBorders>
            <w:noWrap/>
            <w:vAlign w:val="bottom"/>
          </w:tcPr>
          <w:p w:rsidR="00031031" w:rsidRPr="008A5FDC" w:rsidRDefault="00031031" w:rsidP="008A5FDC">
            <w:pPr>
              <w:spacing w:after="0" w:line="240" w:lineRule="auto"/>
              <w:rPr>
                <w:color w:val="000000"/>
              </w:rPr>
            </w:pPr>
            <w:r w:rsidRPr="008A5FDC">
              <w:rPr>
                <w:color w:val="000000"/>
              </w:rPr>
              <w:t>Inflows to</w:t>
            </w:r>
          </w:p>
        </w:tc>
        <w:tc>
          <w:tcPr>
            <w:tcW w:w="541" w:type="dxa"/>
            <w:tcBorders>
              <w:top w:val="nil"/>
              <w:left w:val="nil"/>
              <w:bottom w:val="nil"/>
              <w:right w:val="nil"/>
            </w:tcBorders>
            <w:noWrap/>
            <w:vAlign w:val="bottom"/>
          </w:tcPr>
          <w:p w:rsidR="00031031" w:rsidRPr="008A5FDC" w:rsidRDefault="00031031" w:rsidP="008A5FDC">
            <w:pPr>
              <w:spacing w:after="0" w:line="240" w:lineRule="auto"/>
              <w:rPr>
                <w:color w:val="000000"/>
              </w:rPr>
            </w:pPr>
          </w:p>
        </w:tc>
        <w:tc>
          <w:tcPr>
            <w:tcW w:w="1125"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sidRPr="008A5FDC">
              <w:rPr>
                <w:color w:val="000000"/>
              </w:rPr>
              <w:t>147</w:t>
            </w:r>
          </w:p>
        </w:tc>
        <w:tc>
          <w:tcPr>
            <w:tcW w:w="843"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sidRPr="008A5FDC">
              <w:rPr>
                <w:color w:val="000000"/>
              </w:rPr>
              <w:t>9</w:t>
            </w:r>
          </w:p>
        </w:tc>
        <w:tc>
          <w:tcPr>
            <w:tcW w:w="876"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sidRPr="008A5FDC">
              <w:rPr>
                <w:color w:val="000000"/>
              </w:rPr>
              <w:t>15</w:t>
            </w:r>
          </w:p>
        </w:tc>
        <w:tc>
          <w:tcPr>
            <w:tcW w:w="716"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sidRPr="008A5FDC">
              <w:rPr>
                <w:color w:val="000000"/>
              </w:rPr>
              <w:t>171</w:t>
            </w:r>
          </w:p>
        </w:tc>
      </w:tr>
      <w:tr w:rsidR="00031031" w:rsidRPr="004113A4" w:rsidTr="008A5FDC">
        <w:trPr>
          <w:trHeight w:val="300"/>
        </w:trPr>
        <w:tc>
          <w:tcPr>
            <w:tcW w:w="1359"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Pr>
                <w:color w:val="000000"/>
              </w:rPr>
              <w:t xml:space="preserve"> </w:t>
            </w:r>
            <w:r w:rsidRPr="008A5FDC">
              <w:rPr>
                <w:color w:val="000000"/>
              </w:rPr>
              <w:t>Private</w:t>
            </w:r>
          </w:p>
        </w:tc>
        <w:tc>
          <w:tcPr>
            <w:tcW w:w="541"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sidRPr="008A5FDC">
              <w:rPr>
                <w:color w:val="000000"/>
              </w:rPr>
              <w:t>140</w:t>
            </w:r>
          </w:p>
        </w:tc>
        <w:tc>
          <w:tcPr>
            <w:tcW w:w="1125" w:type="dxa"/>
            <w:tcBorders>
              <w:top w:val="single" w:sz="4" w:space="0" w:color="auto"/>
              <w:left w:val="single" w:sz="4" w:space="0" w:color="auto"/>
              <w:bottom w:val="nil"/>
              <w:right w:val="nil"/>
            </w:tcBorders>
            <w:noWrap/>
            <w:vAlign w:val="bottom"/>
          </w:tcPr>
          <w:p w:rsidR="00031031" w:rsidRPr="008A5FDC" w:rsidRDefault="00031031" w:rsidP="008A5FDC">
            <w:pPr>
              <w:spacing w:after="0" w:line="240" w:lineRule="auto"/>
              <w:rPr>
                <w:color w:val="000000"/>
              </w:rPr>
            </w:pPr>
            <w:r w:rsidRPr="008A5FDC">
              <w:rPr>
                <w:color w:val="000000"/>
              </w:rPr>
              <w:t> </w:t>
            </w:r>
          </w:p>
        </w:tc>
        <w:tc>
          <w:tcPr>
            <w:tcW w:w="843" w:type="dxa"/>
            <w:tcBorders>
              <w:top w:val="single" w:sz="4" w:space="0" w:color="auto"/>
              <w:left w:val="nil"/>
              <w:bottom w:val="nil"/>
              <w:right w:val="nil"/>
            </w:tcBorders>
            <w:noWrap/>
            <w:vAlign w:val="bottom"/>
          </w:tcPr>
          <w:p w:rsidR="00031031" w:rsidRPr="008A5FDC" w:rsidRDefault="00031031" w:rsidP="008A5FDC">
            <w:pPr>
              <w:spacing w:after="0" w:line="240" w:lineRule="auto"/>
              <w:rPr>
                <w:color w:val="000000"/>
              </w:rPr>
            </w:pPr>
            <w:r w:rsidRPr="008A5FDC">
              <w:rPr>
                <w:color w:val="000000"/>
              </w:rPr>
              <w:t> </w:t>
            </w:r>
          </w:p>
        </w:tc>
        <w:tc>
          <w:tcPr>
            <w:tcW w:w="876" w:type="dxa"/>
            <w:tcBorders>
              <w:top w:val="single" w:sz="4" w:space="0" w:color="auto"/>
              <w:left w:val="nil"/>
              <w:bottom w:val="nil"/>
              <w:right w:val="single" w:sz="4" w:space="0" w:color="auto"/>
            </w:tcBorders>
            <w:noWrap/>
            <w:vAlign w:val="bottom"/>
          </w:tcPr>
          <w:p w:rsidR="00031031" w:rsidRPr="008A5FDC" w:rsidRDefault="00031031" w:rsidP="008A5FDC">
            <w:pPr>
              <w:spacing w:after="0" w:line="240" w:lineRule="auto"/>
              <w:jc w:val="right"/>
              <w:rPr>
                <w:color w:val="000000"/>
              </w:rPr>
            </w:pPr>
            <w:r w:rsidRPr="008A5FDC">
              <w:rPr>
                <w:color w:val="000000"/>
              </w:rPr>
              <w:t>14.3</w:t>
            </w:r>
          </w:p>
        </w:tc>
        <w:tc>
          <w:tcPr>
            <w:tcW w:w="716" w:type="dxa"/>
            <w:tcBorders>
              <w:top w:val="nil"/>
              <w:left w:val="nil"/>
              <w:bottom w:val="nil"/>
              <w:right w:val="nil"/>
            </w:tcBorders>
            <w:noWrap/>
            <w:vAlign w:val="bottom"/>
          </w:tcPr>
          <w:p w:rsidR="00031031" w:rsidRPr="008A5FDC" w:rsidRDefault="00031031" w:rsidP="008A5FDC">
            <w:pPr>
              <w:spacing w:after="0" w:line="240" w:lineRule="auto"/>
              <w:rPr>
                <w:color w:val="000000"/>
              </w:rPr>
            </w:pPr>
          </w:p>
        </w:tc>
      </w:tr>
      <w:tr w:rsidR="00031031" w:rsidRPr="004113A4" w:rsidTr="008A5FDC">
        <w:trPr>
          <w:trHeight w:val="300"/>
        </w:trPr>
        <w:tc>
          <w:tcPr>
            <w:tcW w:w="1359"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Pr>
                <w:color w:val="000000"/>
              </w:rPr>
              <w:t xml:space="preserve"> </w:t>
            </w:r>
            <w:r w:rsidRPr="008A5FDC">
              <w:rPr>
                <w:color w:val="000000"/>
              </w:rPr>
              <w:t>Public</w:t>
            </w:r>
          </w:p>
        </w:tc>
        <w:tc>
          <w:tcPr>
            <w:tcW w:w="541"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sidRPr="008A5FDC">
              <w:rPr>
                <w:color w:val="000000"/>
              </w:rPr>
              <w:t>7</w:t>
            </w:r>
          </w:p>
        </w:tc>
        <w:tc>
          <w:tcPr>
            <w:tcW w:w="1125" w:type="dxa"/>
            <w:tcBorders>
              <w:top w:val="nil"/>
              <w:left w:val="single" w:sz="4" w:space="0" w:color="auto"/>
              <w:bottom w:val="nil"/>
              <w:right w:val="nil"/>
            </w:tcBorders>
            <w:noWrap/>
            <w:vAlign w:val="bottom"/>
          </w:tcPr>
          <w:p w:rsidR="00031031" w:rsidRPr="008A5FDC" w:rsidRDefault="00031031" w:rsidP="008A5FDC">
            <w:pPr>
              <w:spacing w:after="0" w:line="240" w:lineRule="auto"/>
              <w:rPr>
                <w:color w:val="000000"/>
              </w:rPr>
            </w:pPr>
            <w:r w:rsidRPr="008A5FDC">
              <w:rPr>
                <w:color w:val="000000"/>
              </w:rPr>
              <w:t> </w:t>
            </w:r>
          </w:p>
        </w:tc>
        <w:tc>
          <w:tcPr>
            <w:tcW w:w="843" w:type="dxa"/>
            <w:tcBorders>
              <w:top w:val="nil"/>
              <w:left w:val="nil"/>
              <w:bottom w:val="nil"/>
              <w:right w:val="nil"/>
            </w:tcBorders>
            <w:noWrap/>
            <w:vAlign w:val="bottom"/>
          </w:tcPr>
          <w:p w:rsidR="00031031" w:rsidRPr="008A5FDC" w:rsidRDefault="00031031" w:rsidP="008A5FDC">
            <w:pPr>
              <w:spacing w:after="0" w:line="240" w:lineRule="auto"/>
              <w:rPr>
                <w:color w:val="000000"/>
              </w:rPr>
            </w:pPr>
          </w:p>
        </w:tc>
        <w:tc>
          <w:tcPr>
            <w:tcW w:w="876" w:type="dxa"/>
            <w:tcBorders>
              <w:top w:val="nil"/>
              <w:left w:val="nil"/>
              <w:bottom w:val="nil"/>
              <w:right w:val="single" w:sz="4" w:space="0" w:color="auto"/>
            </w:tcBorders>
            <w:noWrap/>
            <w:vAlign w:val="bottom"/>
          </w:tcPr>
          <w:p w:rsidR="00031031" w:rsidRPr="008A5FDC" w:rsidRDefault="00031031" w:rsidP="008A5FDC">
            <w:pPr>
              <w:spacing w:after="0" w:line="240" w:lineRule="auto"/>
              <w:jc w:val="right"/>
              <w:rPr>
                <w:color w:val="000000"/>
              </w:rPr>
            </w:pPr>
            <w:r w:rsidRPr="008A5FDC">
              <w:rPr>
                <w:color w:val="000000"/>
              </w:rPr>
              <w:t>0.7</w:t>
            </w:r>
          </w:p>
        </w:tc>
        <w:tc>
          <w:tcPr>
            <w:tcW w:w="716" w:type="dxa"/>
            <w:tcBorders>
              <w:top w:val="nil"/>
              <w:left w:val="nil"/>
              <w:bottom w:val="nil"/>
              <w:right w:val="nil"/>
            </w:tcBorders>
            <w:noWrap/>
            <w:vAlign w:val="bottom"/>
          </w:tcPr>
          <w:p w:rsidR="00031031" w:rsidRPr="008A5FDC" w:rsidRDefault="00031031" w:rsidP="008A5FDC">
            <w:pPr>
              <w:spacing w:after="0" w:line="240" w:lineRule="auto"/>
              <w:rPr>
                <w:color w:val="000000"/>
              </w:rPr>
            </w:pPr>
          </w:p>
        </w:tc>
      </w:tr>
      <w:tr w:rsidR="00031031" w:rsidRPr="004113A4" w:rsidTr="008A5FDC">
        <w:trPr>
          <w:trHeight w:val="300"/>
        </w:trPr>
        <w:tc>
          <w:tcPr>
            <w:tcW w:w="1359"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Pr>
                <w:color w:val="000000"/>
              </w:rPr>
              <w:t xml:space="preserve"> </w:t>
            </w:r>
            <w:r w:rsidRPr="008A5FDC">
              <w:rPr>
                <w:color w:val="000000"/>
              </w:rPr>
              <w:t xml:space="preserve">ROW </w:t>
            </w:r>
          </w:p>
        </w:tc>
        <w:tc>
          <w:tcPr>
            <w:tcW w:w="541" w:type="dxa"/>
            <w:tcBorders>
              <w:top w:val="nil"/>
              <w:left w:val="nil"/>
              <w:bottom w:val="nil"/>
              <w:right w:val="nil"/>
            </w:tcBorders>
            <w:noWrap/>
            <w:vAlign w:val="bottom"/>
          </w:tcPr>
          <w:p w:rsidR="00031031" w:rsidRPr="008A5FDC" w:rsidRDefault="00031031" w:rsidP="008A5FDC">
            <w:pPr>
              <w:spacing w:after="0" w:line="240" w:lineRule="auto"/>
              <w:jc w:val="right"/>
              <w:rPr>
                <w:color w:val="000000"/>
              </w:rPr>
            </w:pPr>
            <w:r w:rsidRPr="008A5FDC">
              <w:rPr>
                <w:color w:val="000000"/>
              </w:rPr>
              <w:t>24</w:t>
            </w:r>
          </w:p>
        </w:tc>
        <w:tc>
          <w:tcPr>
            <w:tcW w:w="1125" w:type="dxa"/>
            <w:tcBorders>
              <w:top w:val="nil"/>
              <w:left w:val="single" w:sz="4" w:space="0" w:color="auto"/>
              <w:bottom w:val="single" w:sz="4" w:space="0" w:color="auto"/>
              <w:right w:val="nil"/>
            </w:tcBorders>
            <w:noWrap/>
            <w:vAlign w:val="bottom"/>
          </w:tcPr>
          <w:p w:rsidR="00031031" w:rsidRPr="008A5FDC" w:rsidRDefault="00031031" w:rsidP="008A5FDC">
            <w:pPr>
              <w:spacing w:after="0" w:line="240" w:lineRule="auto"/>
              <w:jc w:val="right"/>
              <w:rPr>
                <w:color w:val="000000"/>
              </w:rPr>
            </w:pPr>
            <w:r w:rsidRPr="008A5FDC">
              <w:rPr>
                <w:color w:val="000000"/>
              </w:rPr>
              <w:t>22.6</w:t>
            </w:r>
          </w:p>
        </w:tc>
        <w:tc>
          <w:tcPr>
            <w:tcW w:w="843" w:type="dxa"/>
            <w:tcBorders>
              <w:top w:val="nil"/>
              <w:left w:val="nil"/>
              <w:bottom w:val="single" w:sz="4" w:space="0" w:color="auto"/>
              <w:right w:val="nil"/>
            </w:tcBorders>
            <w:noWrap/>
            <w:vAlign w:val="bottom"/>
          </w:tcPr>
          <w:p w:rsidR="00031031" w:rsidRPr="008A5FDC" w:rsidRDefault="00031031" w:rsidP="008A5FDC">
            <w:pPr>
              <w:spacing w:after="0" w:line="240" w:lineRule="auto"/>
              <w:jc w:val="right"/>
              <w:rPr>
                <w:color w:val="000000"/>
              </w:rPr>
            </w:pPr>
            <w:r w:rsidRPr="008A5FDC">
              <w:rPr>
                <w:color w:val="000000"/>
              </w:rPr>
              <w:t>1.4</w:t>
            </w:r>
          </w:p>
        </w:tc>
        <w:tc>
          <w:tcPr>
            <w:tcW w:w="876" w:type="dxa"/>
            <w:tcBorders>
              <w:top w:val="nil"/>
              <w:left w:val="nil"/>
              <w:bottom w:val="single" w:sz="4" w:space="0" w:color="auto"/>
              <w:right w:val="single" w:sz="4" w:space="0" w:color="auto"/>
            </w:tcBorders>
            <w:shd w:val="clear" w:color="000000" w:fill="808080"/>
            <w:noWrap/>
            <w:vAlign w:val="bottom"/>
          </w:tcPr>
          <w:p w:rsidR="00031031" w:rsidRPr="008A5FDC" w:rsidRDefault="00031031" w:rsidP="008A5FDC">
            <w:pPr>
              <w:spacing w:after="0" w:line="240" w:lineRule="auto"/>
              <w:rPr>
                <w:color w:val="000000"/>
              </w:rPr>
            </w:pPr>
            <w:r w:rsidRPr="008A5FDC">
              <w:rPr>
                <w:color w:val="000000"/>
              </w:rPr>
              <w:t> </w:t>
            </w:r>
          </w:p>
        </w:tc>
        <w:tc>
          <w:tcPr>
            <w:tcW w:w="716" w:type="dxa"/>
            <w:tcBorders>
              <w:top w:val="nil"/>
              <w:left w:val="nil"/>
              <w:bottom w:val="nil"/>
              <w:right w:val="nil"/>
            </w:tcBorders>
            <w:noWrap/>
            <w:vAlign w:val="bottom"/>
          </w:tcPr>
          <w:p w:rsidR="00031031" w:rsidRPr="008A5FDC" w:rsidRDefault="00031031" w:rsidP="008A5FDC">
            <w:pPr>
              <w:spacing w:after="0" w:line="240" w:lineRule="auto"/>
              <w:rPr>
                <w:color w:val="000000"/>
              </w:rPr>
            </w:pPr>
          </w:p>
        </w:tc>
      </w:tr>
      <w:tr w:rsidR="00031031" w:rsidRPr="004113A4" w:rsidTr="008A5FDC">
        <w:trPr>
          <w:trHeight w:val="300"/>
        </w:trPr>
        <w:tc>
          <w:tcPr>
            <w:tcW w:w="1359" w:type="dxa"/>
            <w:tcBorders>
              <w:top w:val="nil"/>
              <w:left w:val="nil"/>
              <w:bottom w:val="single" w:sz="4" w:space="0" w:color="auto"/>
              <w:right w:val="nil"/>
            </w:tcBorders>
            <w:noWrap/>
            <w:vAlign w:val="bottom"/>
          </w:tcPr>
          <w:p w:rsidR="00031031" w:rsidRPr="008A5FDC" w:rsidRDefault="00031031" w:rsidP="008A5FDC">
            <w:pPr>
              <w:spacing w:after="0" w:line="240" w:lineRule="auto"/>
              <w:jc w:val="right"/>
              <w:rPr>
                <w:color w:val="000000"/>
              </w:rPr>
            </w:pPr>
            <w:r w:rsidRPr="008A5FDC">
              <w:rPr>
                <w:color w:val="000000"/>
              </w:rPr>
              <w:t>Total</w:t>
            </w:r>
          </w:p>
        </w:tc>
        <w:tc>
          <w:tcPr>
            <w:tcW w:w="541" w:type="dxa"/>
            <w:tcBorders>
              <w:top w:val="nil"/>
              <w:left w:val="nil"/>
              <w:bottom w:val="single" w:sz="4" w:space="0" w:color="auto"/>
              <w:right w:val="nil"/>
            </w:tcBorders>
            <w:noWrap/>
            <w:vAlign w:val="bottom"/>
          </w:tcPr>
          <w:p w:rsidR="00031031" w:rsidRPr="008A5FDC" w:rsidRDefault="00031031" w:rsidP="008A5FDC">
            <w:pPr>
              <w:spacing w:after="0" w:line="240" w:lineRule="auto"/>
              <w:jc w:val="right"/>
              <w:rPr>
                <w:color w:val="000000"/>
              </w:rPr>
            </w:pPr>
            <w:r w:rsidRPr="008A5FDC">
              <w:rPr>
                <w:color w:val="000000"/>
              </w:rPr>
              <w:t>171</w:t>
            </w:r>
          </w:p>
        </w:tc>
        <w:tc>
          <w:tcPr>
            <w:tcW w:w="1125" w:type="dxa"/>
            <w:tcBorders>
              <w:top w:val="nil"/>
              <w:left w:val="nil"/>
              <w:bottom w:val="single" w:sz="4" w:space="0" w:color="auto"/>
              <w:right w:val="nil"/>
            </w:tcBorders>
            <w:noWrap/>
            <w:vAlign w:val="bottom"/>
          </w:tcPr>
          <w:p w:rsidR="00031031" w:rsidRPr="008A5FDC" w:rsidRDefault="00031031" w:rsidP="008A5FDC">
            <w:pPr>
              <w:spacing w:after="0" w:line="240" w:lineRule="auto"/>
              <w:rPr>
                <w:color w:val="000000"/>
              </w:rPr>
            </w:pPr>
            <w:r w:rsidRPr="008A5FDC">
              <w:rPr>
                <w:color w:val="000000"/>
              </w:rPr>
              <w:t> </w:t>
            </w:r>
          </w:p>
        </w:tc>
        <w:tc>
          <w:tcPr>
            <w:tcW w:w="843" w:type="dxa"/>
            <w:tcBorders>
              <w:top w:val="nil"/>
              <w:left w:val="nil"/>
              <w:bottom w:val="single" w:sz="4" w:space="0" w:color="auto"/>
              <w:right w:val="nil"/>
            </w:tcBorders>
            <w:noWrap/>
            <w:vAlign w:val="bottom"/>
          </w:tcPr>
          <w:p w:rsidR="00031031" w:rsidRPr="008A5FDC" w:rsidRDefault="00031031" w:rsidP="008A5FDC">
            <w:pPr>
              <w:spacing w:after="0" w:line="240" w:lineRule="auto"/>
              <w:rPr>
                <w:color w:val="000000"/>
              </w:rPr>
            </w:pPr>
            <w:r w:rsidRPr="008A5FDC">
              <w:rPr>
                <w:color w:val="000000"/>
              </w:rPr>
              <w:t> </w:t>
            </w:r>
          </w:p>
        </w:tc>
        <w:tc>
          <w:tcPr>
            <w:tcW w:w="876" w:type="dxa"/>
            <w:tcBorders>
              <w:top w:val="nil"/>
              <w:left w:val="nil"/>
              <w:bottom w:val="single" w:sz="4" w:space="0" w:color="auto"/>
              <w:right w:val="nil"/>
            </w:tcBorders>
            <w:noWrap/>
            <w:vAlign w:val="bottom"/>
          </w:tcPr>
          <w:p w:rsidR="00031031" w:rsidRPr="008A5FDC" w:rsidRDefault="00031031" w:rsidP="008A5FDC">
            <w:pPr>
              <w:spacing w:after="0" w:line="240" w:lineRule="auto"/>
              <w:rPr>
                <w:color w:val="000000"/>
              </w:rPr>
            </w:pPr>
            <w:r w:rsidRPr="008A5FDC">
              <w:rPr>
                <w:color w:val="000000"/>
              </w:rPr>
              <w:t> </w:t>
            </w:r>
          </w:p>
        </w:tc>
        <w:tc>
          <w:tcPr>
            <w:tcW w:w="716" w:type="dxa"/>
            <w:tcBorders>
              <w:top w:val="nil"/>
              <w:left w:val="nil"/>
              <w:bottom w:val="single" w:sz="4" w:space="0" w:color="auto"/>
              <w:right w:val="nil"/>
            </w:tcBorders>
            <w:noWrap/>
            <w:vAlign w:val="bottom"/>
          </w:tcPr>
          <w:p w:rsidR="00031031" w:rsidRPr="008A5FDC" w:rsidRDefault="00031031" w:rsidP="008A5FDC">
            <w:pPr>
              <w:spacing w:after="0" w:line="240" w:lineRule="auto"/>
              <w:rPr>
                <w:color w:val="000000"/>
              </w:rPr>
            </w:pPr>
            <w:r w:rsidRPr="008A5FDC">
              <w:rPr>
                <w:color w:val="000000"/>
              </w:rPr>
              <w:t> </w:t>
            </w:r>
          </w:p>
        </w:tc>
      </w:tr>
    </w:tbl>
    <w:p w:rsidR="00031031" w:rsidRDefault="00031031" w:rsidP="002F5404"/>
    <w:p w:rsidR="00031031" w:rsidRDefault="00031031" w:rsidP="002F5404">
      <w:r>
        <w:t xml:space="preserve">The 2 x 2 intersectoral flow matrix for private/public other current transfers is estimated by assuming that the elements of the matrix are proportional to the total flows. The estimates obtained are reported in table 4.18. The value for private/private (118) is entered in the transactions within private group in table 4.15. The value for public/public (0.4) is included in transactions within government. The two public/private flows (7.3 and 5.9) are entered in transfers between public and private values for other current transfers. The ROW flows are included in transfers between public and ROW and transfers between private and ROW. </w:t>
      </w:r>
    </w:p>
    <w:p w:rsidR="00031031" w:rsidRDefault="00031031" w:rsidP="00CA30C0">
      <w:r>
        <w:t xml:space="preserve">Aggregate controls for public and private transfers are reported in table 4.19. Values are drawn from table 4.15 or calculated from values within the table. The table meets several important properties of NTA. The first is that public transfer inflows and outflow must be equal if net transfers to ROW are included. Public transfers of –29.7 refer to the net transfers of the resident population. Their public transfers are negative because net transfers from ROW are negative. </w:t>
      </w:r>
    </w:p>
    <w:tbl>
      <w:tblPr>
        <w:tblW w:w="5462" w:type="dxa"/>
        <w:tblInd w:w="93" w:type="dxa"/>
        <w:tblLook w:val="00A0"/>
      </w:tblPr>
      <w:tblGrid>
        <w:gridCol w:w="1268"/>
        <w:gridCol w:w="735"/>
        <w:gridCol w:w="1049"/>
        <w:gridCol w:w="924"/>
        <w:gridCol w:w="817"/>
        <w:gridCol w:w="669"/>
      </w:tblGrid>
      <w:tr w:rsidR="00031031" w:rsidRPr="004113A4" w:rsidTr="00CA30C0">
        <w:trPr>
          <w:cantSplit/>
          <w:trHeight w:val="615"/>
        </w:trPr>
        <w:tc>
          <w:tcPr>
            <w:tcW w:w="5462" w:type="dxa"/>
            <w:gridSpan w:val="6"/>
            <w:tcBorders>
              <w:top w:val="nil"/>
              <w:left w:val="nil"/>
              <w:bottom w:val="single" w:sz="4" w:space="0" w:color="auto"/>
              <w:right w:val="nil"/>
            </w:tcBorders>
            <w:vAlign w:val="bottom"/>
          </w:tcPr>
          <w:p w:rsidR="00031031" w:rsidRPr="00C11C12" w:rsidRDefault="00031031" w:rsidP="00C11C12">
            <w:pPr>
              <w:spacing w:after="0" w:line="240" w:lineRule="auto"/>
              <w:rPr>
                <w:color w:val="000000"/>
              </w:rPr>
            </w:pPr>
            <w:r w:rsidRPr="00C11C12">
              <w:rPr>
                <w:color w:val="000000"/>
              </w:rPr>
              <w:lastRenderedPageBreak/>
              <w:t>Table 4.18</w:t>
            </w:r>
            <w:r>
              <w:rPr>
                <w:color w:val="000000"/>
              </w:rPr>
              <w:t>.</w:t>
            </w:r>
            <w:r w:rsidRPr="00C11C12">
              <w:rPr>
                <w:color w:val="000000"/>
              </w:rPr>
              <w:t xml:space="preserve"> Other current transfers excluding current transfers within government and current international cooperation</w:t>
            </w:r>
          </w:p>
        </w:tc>
      </w:tr>
      <w:tr w:rsidR="00031031" w:rsidRPr="004113A4" w:rsidTr="00CA30C0">
        <w:trPr>
          <w:cantSplit/>
          <w:trHeight w:val="300"/>
        </w:trPr>
        <w:tc>
          <w:tcPr>
            <w:tcW w:w="1268" w:type="dxa"/>
            <w:tcBorders>
              <w:top w:val="nil"/>
              <w:left w:val="nil"/>
              <w:bottom w:val="nil"/>
              <w:right w:val="nil"/>
            </w:tcBorders>
            <w:noWrap/>
            <w:vAlign w:val="bottom"/>
          </w:tcPr>
          <w:p w:rsidR="00031031" w:rsidRPr="00C11C12" w:rsidRDefault="00031031" w:rsidP="00C11C12">
            <w:pPr>
              <w:spacing w:after="0" w:line="240" w:lineRule="auto"/>
              <w:rPr>
                <w:color w:val="000000"/>
              </w:rPr>
            </w:pPr>
          </w:p>
        </w:tc>
        <w:tc>
          <w:tcPr>
            <w:tcW w:w="735" w:type="dxa"/>
            <w:tcBorders>
              <w:top w:val="nil"/>
              <w:left w:val="nil"/>
              <w:bottom w:val="nil"/>
              <w:right w:val="nil"/>
            </w:tcBorders>
            <w:noWrap/>
            <w:vAlign w:val="bottom"/>
          </w:tcPr>
          <w:p w:rsidR="00031031" w:rsidRPr="00C11C12" w:rsidRDefault="00031031" w:rsidP="00C11C12">
            <w:pPr>
              <w:spacing w:after="0" w:line="240" w:lineRule="auto"/>
              <w:rPr>
                <w:color w:val="000000"/>
              </w:rPr>
            </w:pPr>
          </w:p>
        </w:tc>
        <w:tc>
          <w:tcPr>
            <w:tcW w:w="3459" w:type="dxa"/>
            <w:gridSpan w:val="4"/>
            <w:tcBorders>
              <w:top w:val="single" w:sz="4" w:space="0" w:color="auto"/>
              <w:left w:val="nil"/>
              <w:bottom w:val="single" w:sz="4" w:space="0" w:color="auto"/>
              <w:right w:val="nil"/>
            </w:tcBorders>
            <w:noWrap/>
            <w:vAlign w:val="bottom"/>
          </w:tcPr>
          <w:p w:rsidR="00031031" w:rsidRPr="00C11C12" w:rsidRDefault="00031031" w:rsidP="00C11C12">
            <w:pPr>
              <w:spacing w:after="0" w:line="240" w:lineRule="auto"/>
              <w:jc w:val="center"/>
              <w:rPr>
                <w:color w:val="000000"/>
              </w:rPr>
            </w:pPr>
            <w:r w:rsidRPr="00C11C12">
              <w:rPr>
                <w:color w:val="000000"/>
              </w:rPr>
              <w:t>Outflows from</w:t>
            </w:r>
          </w:p>
        </w:tc>
      </w:tr>
      <w:tr w:rsidR="00031031" w:rsidRPr="004113A4" w:rsidTr="00CA30C0">
        <w:trPr>
          <w:cantSplit/>
          <w:trHeight w:val="300"/>
        </w:trPr>
        <w:tc>
          <w:tcPr>
            <w:tcW w:w="1268" w:type="dxa"/>
            <w:tcBorders>
              <w:top w:val="nil"/>
              <w:left w:val="nil"/>
              <w:bottom w:val="nil"/>
              <w:right w:val="nil"/>
            </w:tcBorders>
            <w:noWrap/>
            <w:vAlign w:val="bottom"/>
          </w:tcPr>
          <w:p w:rsidR="00031031" w:rsidRPr="00C11C12" w:rsidRDefault="00031031" w:rsidP="00C11C12">
            <w:pPr>
              <w:spacing w:after="0" w:line="240" w:lineRule="auto"/>
              <w:rPr>
                <w:color w:val="000000"/>
              </w:rPr>
            </w:pPr>
          </w:p>
        </w:tc>
        <w:tc>
          <w:tcPr>
            <w:tcW w:w="735" w:type="dxa"/>
            <w:tcBorders>
              <w:top w:val="nil"/>
              <w:left w:val="nil"/>
              <w:bottom w:val="nil"/>
              <w:right w:val="nil"/>
            </w:tcBorders>
            <w:noWrap/>
            <w:vAlign w:val="bottom"/>
          </w:tcPr>
          <w:p w:rsidR="00031031" w:rsidRPr="00C11C12" w:rsidRDefault="00031031" w:rsidP="00C11C12">
            <w:pPr>
              <w:spacing w:after="0" w:line="240" w:lineRule="auto"/>
              <w:rPr>
                <w:color w:val="000000"/>
              </w:rPr>
            </w:pPr>
          </w:p>
        </w:tc>
        <w:tc>
          <w:tcPr>
            <w:tcW w:w="1049" w:type="dxa"/>
            <w:tcBorders>
              <w:top w:val="nil"/>
              <w:left w:val="nil"/>
              <w:bottom w:val="nil"/>
              <w:right w:val="nil"/>
            </w:tcBorders>
            <w:noWrap/>
            <w:vAlign w:val="bottom"/>
          </w:tcPr>
          <w:p w:rsidR="00031031" w:rsidRPr="00C11C12" w:rsidRDefault="00031031" w:rsidP="00C11C12">
            <w:pPr>
              <w:spacing w:after="0" w:line="240" w:lineRule="auto"/>
              <w:rPr>
                <w:color w:val="000000"/>
              </w:rPr>
            </w:pPr>
            <w:r>
              <w:rPr>
                <w:color w:val="000000"/>
              </w:rPr>
              <w:t xml:space="preserve"> </w:t>
            </w:r>
            <w:r w:rsidRPr="00C11C12">
              <w:rPr>
                <w:color w:val="000000"/>
              </w:rPr>
              <w:t>Private</w:t>
            </w:r>
          </w:p>
        </w:tc>
        <w:tc>
          <w:tcPr>
            <w:tcW w:w="924" w:type="dxa"/>
            <w:tcBorders>
              <w:top w:val="nil"/>
              <w:left w:val="nil"/>
              <w:bottom w:val="nil"/>
              <w:right w:val="nil"/>
            </w:tcBorders>
            <w:noWrap/>
            <w:vAlign w:val="bottom"/>
          </w:tcPr>
          <w:p w:rsidR="00031031" w:rsidRPr="00C11C12" w:rsidRDefault="00031031" w:rsidP="00C11C12">
            <w:pPr>
              <w:spacing w:after="0" w:line="240" w:lineRule="auto"/>
              <w:rPr>
                <w:color w:val="000000"/>
              </w:rPr>
            </w:pPr>
            <w:r>
              <w:rPr>
                <w:color w:val="000000"/>
              </w:rPr>
              <w:t xml:space="preserve"> </w:t>
            </w:r>
            <w:r w:rsidRPr="00C11C12">
              <w:rPr>
                <w:color w:val="000000"/>
              </w:rPr>
              <w:t>Public</w:t>
            </w:r>
          </w:p>
        </w:tc>
        <w:tc>
          <w:tcPr>
            <w:tcW w:w="817" w:type="dxa"/>
            <w:tcBorders>
              <w:top w:val="nil"/>
              <w:left w:val="nil"/>
              <w:bottom w:val="nil"/>
              <w:right w:val="nil"/>
            </w:tcBorders>
            <w:noWrap/>
            <w:vAlign w:val="bottom"/>
          </w:tcPr>
          <w:p w:rsidR="00031031" w:rsidRPr="00C11C12" w:rsidRDefault="00031031" w:rsidP="00C11C12">
            <w:pPr>
              <w:spacing w:after="0" w:line="240" w:lineRule="auto"/>
              <w:rPr>
                <w:color w:val="000000"/>
              </w:rPr>
            </w:pPr>
            <w:r>
              <w:rPr>
                <w:color w:val="000000"/>
              </w:rPr>
              <w:t xml:space="preserve"> </w:t>
            </w:r>
            <w:r w:rsidRPr="00C11C12">
              <w:rPr>
                <w:color w:val="000000"/>
              </w:rPr>
              <w:t xml:space="preserve">ROW </w:t>
            </w:r>
          </w:p>
        </w:tc>
        <w:tc>
          <w:tcPr>
            <w:tcW w:w="669" w:type="dxa"/>
            <w:tcBorders>
              <w:top w:val="nil"/>
              <w:left w:val="nil"/>
              <w:bottom w:val="nil"/>
              <w:right w:val="nil"/>
            </w:tcBorders>
            <w:noWrap/>
            <w:vAlign w:val="bottom"/>
          </w:tcPr>
          <w:p w:rsidR="00031031" w:rsidRPr="00C11C12" w:rsidRDefault="00031031" w:rsidP="00C11C12">
            <w:pPr>
              <w:spacing w:after="0" w:line="240" w:lineRule="auto"/>
              <w:rPr>
                <w:color w:val="000000"/>
              </w:rPr>
            </w:pPr>
            <w:r w:rsidRPr="00C11C12">
              <w:rPr>
                <w:color w:val="000000"/>
              </w:rPr>
              <w:t>Total</w:t>
            </w:r>
          </w:p>
        </w:tc>
      </w:tr>
      <w:tr w:rsidR="00031031" w:rsidRPr="004113A4" w:rsidTr="00CA30C0">
        <w:trPr>
          <w:cantSplit/>
          <w:trHeight w:val="300"/>
        </w:trPr>
        <w:tc>
          <w:tcPr>
            <w:tcW w:w="1268" w:type="dxa"/>
            <w:tcBorders>
              <w:top w:val="nil"/>
              <w:left w:val="nil"/>
              <w:bottom w:val="single" w:sz="4" w:space="0" w:color="auto"/>
              <w:right w:val="nil"/>
            </w:tcBorders>
            <w:noWrap/>
            <w:vAlign w:val="bottom"/>
          </w:tcPr>
          <w:p w:rsidR="00031031" w:rsidRPr="00C11C12" w:rsidRDefault="00031031" w:rsidP="00C11C12">
            <w:pPr>
              <w:spacing w:after="0" w:line="240" w:lineRule="auto"/>
              <w:rPr>
                <w:color w:val="000000"/>
              </w:rPr>
            </w:pPr>
            <w:r w:rsidRPr="00C11C12">
              <w:rPr>
                <w:color w:val="000000"/>
              </w:rPr>
              <w:t>Inflows to</w:t>
            </w:r>
          </w:p>
        </w:tc>
        <w:tc>
          <w:tcPr>
            <w:tcW w:w="735" w:type="dxa"/>
            <w:tcBorders>
              <w:top w:val="nil"/>
              <w:left w:val="nil"/>
              <w:bottom w:val="nil"/>
              <w:right w:val="nil"/>
            </w:tcBorders>
            <w:noWrap/>
            <w:vAlign w:val="bottom"/>
          </w:tcPr>
          <w:p w:rsidR="00031031" w:rsidRPr="00C11C12" w:rsidRDefault="00031031" w:rsidP="00C11C12">
            <w:pPr>
              <w:spacing w:after="0" w:line="240" w:lineRule="auto"/>
              <w:rPr>
                <w:color w:val="000000"/>
              </w:rPr>
            </w:pPr>
          </w:p>
        </w:tc>
        <w:tc>
          <w:tcPr>
            <w:tcW w:w="104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147.0</w:t>
            </w:r>
          </w:p>
        </w:tc>
        <w:tc>
          <w:tcPr>
            <w:tcW w:w="924"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9.0</w:t>
            </w:r>
          </w:p>
        </w:tc>
        <w:tc>
          <w:tcPr>
            <w:tcW w:w="817"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15.0</w:t>
            </w:r>
          </w:p>
        </w:tc>
        <w:tc>
          <w:tcPr>
            <w:tcW w:w="66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171</w:t>
            </w:r>
          </w:p>
        </w:tc>
      </w:tr>
      <w:tr w:rsidR="00031031" w:rsidRPr="004113A4" w:rsidTr="00CA30C0">
        <w:trPr>
          <w:cantSplit/>
          <w:trHeight w:val="300"/>
        </w:trPr>
        <w:tc>
          <w:tcPr>
            <w:tcW w:w="1268"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Pr>
                <w:color w:val="000000"/>
              </w:rPr>
              <w:t xml:space="preserve"> </w:t>
            </w:r>
            <w:r w:rsidRPr="00C11C12">
              <w:rPr>
                <w:color w:val="000000"/>
              </w:rPr>
              <w:t>Private</w:t>
            </w:r>
          </w:p>
        </w:tc>
        <w:tc>
          <w:tcPr>
            <w:tcW w:w="735"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140.0</w:t>
            </w:r>
          </w:p>
        </w:tc>
        <w:tc>
          <w:tcPr>
            <w:tcW w:w="1049" w:type="dxa"/>
            <w:tcBorders>
              <w:top w:val="single" w:sz="4" w:space="0" w:color="auto"/>
              <w:left w:val="single" w:sz="4" w:space="0" w:color="auto"/>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118.5</w:t>
            </w:r>
          </w:p>
        </w:tc>
        <w:tc>
          <w:tcPr>
            <w:tcW w:w="924" w:type="dxa"/>
            <w:tcBorders>
              <w:top w:val="single" w:sz="4" w:space="0" w:color="auto"/>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7.3</w:t>
            </w:r>
          </w:p>
        </w:tc>
        <w:tc>
          <w:tcPr>
            <w:tcW w:w="817" w:type="dxa"/>
            <w:tcBorders>
              <w:top w:val="single" w:sz="4" w:space="0" w:color="auto"/>
              <w:left w:val="nil"/>
              <w:bottom w:val="nil"/>
              <w:right w:val="single" w:sz="4" w:space="0" w:color="auto"/>
            </w:tcBorders>
            <w:noWrap/>
            <w:vAlign w:val="bottom"/>
          </w:tcPr>
          <w:p w:rsidR="00031031" w:rsidRPr="00C11C12" w:rsidRDefault="00031031" w:rsidP="00C11C12">
            <w:pPr>
              <w:spacing w:after="0" w:line="240" w:lineRule="auto"/>
              <w:jc w:val="right"/>
              <w:rPr>
                <w:color w:val="000000"/>
              </w:rPr>
            </w:pPr>
            <w:r w:rsidRPr="00C11C12">
              <w:rPr>
                <w:color w:val="000000"/>
              </w:rPr>
              <w:t>14.3</w:t>
            </w:r>
          </w:p>
        </w:tc>
        <w:tc>
          <w:tcPr>
            <w:tcW w:w="669" w:type="dxa"/>
            <w:tcBorders>
              <w:top w:val="nil"/>
              <w:left w:val="nil"/>
              <w:bottom w:val="nil"/>
              <w:right w:val="nil"/>
            </w:tcBorders>
            <w:noWrap/>
            <w:vAlign w:val="bottom"/>
          </w:tcPr>
          <w:p w:rsidR="00031031" w:rsidRPr="00C11C12" w:rsidRDefault="00031031" w:rsidP="00C11C12">
            <w:pPr>
              <w:spacing w:after="0" w:line="240" w:lineRule="auto"/>
              <w:rPr>
                <w:color w:val="000000"/>
              </w:rPr>
            </w:pPr>
          </w:p>
        </w:tc>
      </w:tr>
      <w:tr w:rsidR="00031031" w:rsidRPr="004113A4" w:rsidTr="00CA30C0">
        <w:trPr>
          <w:cantSplit/>
          <w:trHeight w:val="300"/>
        </w:trPr>
        <w:tc>
          <w:tcPr>
            <w:tcW w:w="1268"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Pr>
                <w:color w:val="000000"/>
              </w:rPr>
              <w:t xml:space="preserve"> </w:t>
            </w:r>
            <w:r w:rsidRPr="00C11C12">
              <w:rPr>
                <w:color w:val="000000"/>
              </w:rPr>
              <w:t>Public</w:t>
            </w:r>
          </w:p>
        </w:tc>
        <w:tc>
          <w:tcPr>
            <w:tcW w:w="735"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7.0</w:t>
            </w:r>
          </w:p>
        </w:tc>
        <w:tc>
          <w:tcPr>
            <w:tcW w:w="1049" w:type="dxa"/>
            <w:tcBorders>
              <w:top w:val="nil"/>
              <w:left w:val="single" w:sz="4" w:space="0" w:color="auto"/>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5.9</w:t>
            </w:r>
          </w:p>
        </w:tc>
        <w:tc>
          <w:tcPr>
            <w:tcW w:w="924"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0.4</w:t>
            </w:r>
          </w:p>
        </w:tc>
        <w:tc>
          <w:tcPr>
            <w:tcW w:w="817" w:type="dxa"/>
            <w:tcBorders>
              <w:top w:val="nil"/>
              <w:left w:val="nil"/>
              <w:bottom w:val="nil"/>
              <w:right w:val="single" w:sz="4" w:space="0" w:color="auto"/>
            </w:tcBorders>
            <w:noWrap/>
            <w:vAlign w:val="bottom"/>
          </w:tcPr>
          <w:p w:rsidR="00031031" w:rsidRPr="00C11C12" w:rsidRDefault="00031031" w:rsidP="00C11C12">
            <w:pPr>
              <w:spacing w:after="0" w:line="240" w:lineRule="auto"/>
              <w:jc w:val="right"/>
              <w:rPr>
                <w:color w:val="000000"/>
              </w:rPr>
            </w:pPr>
            <w:r w:rsidRPr="00C11C12">
              <w:rPr>
                <w:color w:val="000000"/>
              </w:rPr>
              <w:t>0.7</w:t>
            </w:r>
          </w:p>
        </w:tc>
        <w:tc>
          <w:tcPr>
            <w:tcW w:w="669" w:type="dxa"/>
            <w:tcBorders>
              <w:top w:val="nil"/>
              <w:left w:val="nil"/>
              <w:bottom w:val="nil"/>
              <w:right w:val="nil"/>
            </w:tcBorders>
            <w:noWrap/>
            <w:vAlign w:val="bottom"/>
          </w:tcPr>
          <w:p w:rsidR="00031031" w:rsidRPr="00C11C12" w:rsidRDefault="00031031" w:rsidP="00C11C12">
            <w:pPr>
              <w:spacing w:after="0" w:line="240" w:lineRule="auto"/>
              <w:rPr>
                <w:color w:val="000000"/>
              </w:rPr>
            </w:pPr>
          </w:p>
        </w:tc>
      </w:tr>
      <w:tr w:rsidR="00031031" w:rsidRPr="004113A4" w:rsidTr="00CA30C0">
        <w:trPr>
          <w:cantSplit/>
          <w:trHeight w:val="300"/>
        </w:trPr>
        <w:tc>
          <w:tcPr>
            <w:tcW w:w="1268"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Pr>
                <w:color w:val="000000"/>
              </w:rPr>
              <w:t xml:space="preserve"> </w:t>
            </w:r>
            <w:r w:rsidRPr="00C11C12">
              <w:rPr>
                <w:color w:val="000000"/>
              </w:rPr>
              <w:t xml:space="preserve">ROW </w:t>
            </w:r>
          </w:p>
        </w:tc>
        <w:tc>
          <w:tcPr>
            <w:tcW w:w="735"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24.0</w:t>
            </w:r>
          </w:p>
        </w:tc>
        <w:tc>
          <w:tcPr>
            <w:tcW w:w="1049" w:type="dxa"/>
            <w:tcBorders>
              <w:top w:val="nil"/>
              <w:left w:val="single" w:sz="4" w:space="0" w:color="auto"/>
              <w:bottom w:val="single" w:sz="4" w:space="0" w:color="auto"/>
              <w:right w:val="nil"/>
            </w:tcBorders>
            <w:noWrap/>
            <w:vAlign w:val="bottom"/>
          </w:tcPr>
          <w:p w:rsidR="00031031" w:rsidRPr="00C11C12" w:rsidRDefault="00031031" w:rsidP="00C11C12">
            <w:pPr>
              <w:spacing w:after="0" w:line="240" w:lineRule="auto"/>
              <w:jc w:val="right"/>
              <w:rPr>
                <w:color w:val="000000"/>
              </w:rPr>
            </w:pPr>
            <w:r w:rsidRPr="00C11C12">
              <w:rPr>
                <w:color w:val="000000"/>
              </w:rPr>
              <w:t>22.6</w:t>
            </w:r>
          </w:p>
        </w:tc>
        <w:tc>
          <w:tcPr>
            <w:tcW w:w="924" w:type="dxa"/>
            <w:tcBorders>
              <w:top w:val="nil"/>
              <w:left w:val="nil"/>
              <w:bottom w:val="single" w:sz="4" w:space="0" w:color="auto"/>
              <w:right w:val="nil"/>
            </w:tcBorders>
            <w:noWrap/>
            <w:vAlign w:val="bottom"/>
          </w:tcPr>
          <w:p w:rsidR="00031031" w:rsidRPr="00C11C12" w:rsidRDefault="00031031" w:rsidP="00C11C12">
            <w:pPr>
              <w:spacing w:after="0" w:line="240" w:lineRule="auto"/>
              <w:jc w:val="right"/>
              <w:rPr>
                <w:color w:val="000000"/>
              </w:rPr>
            </w:pPr>
            <w:r w:rsidRPr="00C11C12">
              <w:rPr>
                <w:color w:val="000000"/>
              </w:rPr>
              <w:t>1.4</w:t>
            </w:r>
          </w:p>
        </w:tc>
        <w:tc>
          <w:tcPr>
            <w:tcW w:w="817" w:type="dxa"/>
            <w:tcBorders>
              <w:top w:val="nil"/>
              <w:left w:val="nil"/>
              <w:bottom w:val="single" w:sz="4" w:space="0" w:color="auto"/>
              <w:right w:val="single" w:sz="4" w:space="0" w:color="auto"/>
            </w:tcBorders>
            <w:shd w:val="clear" w:color="000000" w:fill="808080"/>
            <w:noWrap/>
            <w:vAlign w:val="bottom"/>
          </w:tcPr>
          <w:p w:rsidR="00031031" w:rsidRPr="00C11C12" w:rsidRDefault="00031031" w:rsidP="00C11C12">
            <w:pPr>
              <w:spacing w:after="0" w:line="240" w:lineRule="auto"/>
              <w:rPr>
                <w:color w:val="000000"/>
              </w:rPr>
            </w:pPr>
            <w:r w:rsidRPr="00C11C12">
              <w:rPr>
                <w:color w:val="000000"/>
              </w:rPr>
              <w:t> </w:t>
            </w:r>
          </w:p>
        </w:tc>
        <w:tc>
          <w:tcPr>
            <w:tcW w:w="669" w:type="dxa"/>
            <w:tcBorders>
              <w:top w:val="nil"/>
              <w:left w:val="nil"/>
              <w:bottom w:val="nil"/>
              <w:right w:val="nil"/>
            </w:tcBorders>
            <w:noWrap/>
            <w:vAlign w:val="bottom"/>
          </w:tcPr>
          <w:p w:rsidR="00031031" w:rsidRPr="00C11C12" w:rsidRDefault="00031031" w:rsidP="00C11C12">
            <w:pPr>
              <w:spacing w:after="0" w:line="240" w:lineRule="auto"/>
              <w:rPr>
                <w:color w:val="000000"/>
              </w:rPr>
            </w:pPr>
          </w:p>
        </w:tc>
      </w:tr>
      <w:tr w:rsidR="00031031" w:rsidRPr="004113A4" w:rsidTr="00CA30C0">
        <w:trPr>
          <w:cantSplit/>
          <w:trHeight w:val="300"/>
        </w:trPr>
        <w:tc>
          <w:tcPr>
            <w:tcW w:w="1268" w:type="dxa"/>
            <w:tcBorders>
              <w:top w:val="nil"/>
              <w:left w:val="nil"/>
              <w:bottom w:val="single" w:sz="4" w:space="0" w:color="auto"/>
              <w:right w:val="nil"/>
            </w:tcBorders>
            <w:noWrap/>
            <w:vAlign w:val="bottom"/>
          </w:tcPr>
          <w:p w:rsidR="00031031" w:rsidRPr="00C11C12" w:rsidRDefault="00031031" w:rsidP="00C11C12">
            <w:pPr>
              <w:spacing w:after="0" w:line="240" w:lineRule="auto"/>
              <w:jc w:val="right"/>
              <w:rPr>
                <w:color w:val="000000"/>
              </w:rPr>
            </w:pPr>
            <w:r w:rsidRPr="00C11C12">
              <w:rPr>
                <w:color w:val="000000"/>
              </w:rPr>
              <w:t>Total</w:t>
            </w:r>
          </w:p>
        </w:tc>
        <w:tc>
          <w:tcPr>
            <w:tcW w:w="735" w:type="dxa"/>
            <w:tcBorders>
              <w:top w:val="nil"/>
              <w:left w:val="nil"/>
              <w:bottom w:val="single" w:sz="4" w:space="0" w:color="auto"/>
              <w:right w:val="nil"/>
            </w:tcBorders>
            <w:noWrap/>
            <w:vAlign w:val="bottom"/>
          </w:tcPr>
          <w:p w:rsidR="00031031" w:rsidRPr="00C11C12" w:rsidRDefault="00031031" w:rsidP="00C11C12">
            <w:pPr>
              <w:spacing w:after="0" w:line="240" w:lineRule="auto"/>
              <w:jc w:val="right"/>
              <w:rPr>
                <w:color w:val="000000"/>
              </w:rPr>
            </w:pPr>
            <w:r w:rsidRPr="00C11C12">
              <w:rPr>
                <w:color w:val="000000"/>
              </w:rPr>
              <w:t>171</w:t>
            </w:r>
          </w:p>
        </w:tc>
        <w:tc>
          <w:tcPr>
            <w:tcW w:w="1049" w:type="dxa"/>
            <w:tcBorders>
              <w:top w:val="nil"/>
              <w:left w:val="nil"/>
              <w:bottom w:val="single" w:sz="4" w:space="0" w:color="auto"/>
              <w:right w:val="nil"/>
            </w:tcBorders>
            <w:noWrap/>
            <w:vAlign w:val="bottom"/>
          </w:tcPr>
          <w:p w:rsidR="00031031" w:rsidRPr="00C11C12" w:rsidRDefault="00031031" w:rsidP="00C11C12">
            <w:pPr>
              <w:spacing w:after="0" w:line="240" w:lineRule="auto"/>
              <w:rPr>
                <w:color w:val="000000"/>
              </w:rPr>
            </w:pPr>
            <w:r w:rsidRPr="00C11C12">
              <w:rPr>
                <w:color w:val="000000"/>
              </w:rPr>
              <w:t> </w:t>
            </w:r>
          </w:p>
        </w:tc>
        <w:tc>
          <w:tcPr>
            <w:tcW w:w="924" w:type="dxa"/>
            <w:tcBorders>
              <w:top w:val="nil"/>
              <w:left w:val="nil"/>
              <w:bottom w:val="single" w:sz="4" w:space="0" w:color="auto"/>
              <w:right w:val="nil"/>
            </w:tcBorders>
            <w:noWrap/>
            <w:vAlign w:val="bottom"/>
          </w:tcPr>
          <w:p w:rsidR="00031031" w:rsidRPr="00C11C12" w:rsidRDefault="00031031" w:rsidP="00C11C12">
            <w:pPr>
              <w:spacing w:after="0" w:line="240" w:lineRule="auto"/>
              <w:rPr>
                <w:color w:val="000000"/>
              </w:rPr>
            </w:pPr>
            <w:r w:rsidRPr="00C11C12">
              <w:rPr>
                <w:color w:val="000000"/>
              </w:rPr>
              <w:t> </w:t>
            </w:r>
          </w:p>
        </w:tc>
        <w:tc>
          <w:tcPr>
            <w:tcW w:w="817" w:type="dxa"/>
            <w:tcBorders>
              <w:top w:val="nil"/>
              <w:left w:val="nil"/>
              <w:bottom w:val="single" w:sz="4" w:space="0" w:color="auto"/>
              <w:right w:val="nil"/>
            </w:tcBorders>
            <w:noWrap/>
            <w:vAlign w:val="bottom"/>
          </w:tcPr>
          <w:p w:rsidR="00031031" w:rsidRPr="00C11C12" w:rsidRDefault="00031031" w:rsidP="00C11C12">
            <w:pPr>
              <w:spacing w:after="0" w:line="240" w:lineRule="auto"/>
              <w:rPr>
                <w:color w:val="000000"/>
              </w:rPr>
            </w:pPr>
            <w:r w:rsidRPr="00C11C12">
              <w:rPr>
                <w:color w:val="000000"/>
              </w:rPr>
              <w:t> </w:t>
            </w:r>
          </w:p>
        </w:tc>
        <w:tc>
          <w:tcPr>
            <w:tcW w:w="669" w:type="dxa"/>
            <w:tcBorders>
              <w:top w:val="nil"/>
              <w:left w:val="nil"/>
              <w:bottom w:val="single" w:sz="4" w:space="0" w:color="auto"/>
              <w:right w:val="nil"/>
            </w:tcBorders>
            <w:noWrap/>
            <w:vAlign w:val="bottom"/>
          </w:tcPr>
          <w:p w:rsidR="00031031" w:rsidRPr="00C11C12" w:rsidRDefault="00031031" w:rsidP="00C11C12">
            <w:pPr>
              <w:spacing w:after="0" w:line="240" w:lineRule="auto"/>
              <w:rPr>
                <w:color w:val="000000"/>
              </w:rPr>
            </w:pPr>
            <w:r w:rsidRPr="00C11C12">
              <w:rPr>
                <w:color w:val="000000"/>
              </w:rPr>
              <w:t> </w:t>
            </w:r>
          </w:p>
        </w:tc>
      </w:tr>
    </w:tbl>
    <w:p w:rsidR="00031031" w:rsidRDefault="00031031" w:rsidP="002F5404"/>
    <w:p w:rsidR="00031031" w:rsidRDefault="00031031" w:rsidP="002F5404">
      <w:r>
        <w:t xml:space="preserve">Another important feature of public transfers is the transfer deficit(+)/surplus(–). This is a balancing item that is equal to the gap between public transfer inflows and public taxes and revenues. In the case of the UNSNA in 2008 revenues were insufficient to cover public transfer inflows of 471.3 and net transfers from ROW of –29.7 (i.e., net transfers to ROW of 29.7). </w:t>
      </w:r>
    </w:p>
    <w:p w:rsidR="00031031" w:rsidRPr="00354A7F" w:rsidRDefault="00D00BD1" w:rsidP="002F5404">
      <w:pPr>
        <w:rPr>
          <w:lang w:val="en-GB"/>
        </w:rPr>
      </w:pPr>
      <w:r>
        <w:pict>
          <v:shape id="_x0000_i1035" type="#_x0000_t75" style="width:458.4pt;height:171.2pt">
            <v:imagedata r:id="rId20" o:title=""/>
          </v:shape>
        </w:pict>
      </w:r>
    </w:p>
    <w:p w:rsidR="00031031" w:rsidRDefault="00031031" w:rsidP="002F5404">
      <w:r>
        <w:t xml:space="preserve">Private transfer values from SNA are quite limited. The key transfers in NTA are inter-household transfers and intra-household transfers. Unfortunately, neither of these is compiled as part of SNA. One very important piece of information, however, is Net private transfers from ROW. By definition, this will equal Private transfers for all resident combined. This piece of information when combined with private asset–based reallocations allows us to estimate private age reallocations. Other means, taken up in chapters 6 and 7, are required to estimate the importance of inter- and intra-household transfers. </w:t>
      </w:r>
    </w:p>
    <w:p w:rsidR="00031031" w:rsidRDefault="00031031" w:rsidP="002F5404">
      <w:pPr>
        <w:pStyle w:val="Heading2"/>
      </w:pPr>
      <w:r>
        <w:t>4.4.4 Age reallocations</w:t>
      </w:r>
    </w:p>
    <w:p w:rsidR="00031031" w:rsidRDefault="00031031" w:rsidP="00C11C12">
      <w:r>
        <w:t>Aggregate controls for age reallocations can now be completed using the asset-based reallocations reported for public and private asset–based reallocations reported in tables 4.12 and 4.13, respectively, and public and private transfers reported in table 4.19. Public age reallocations are shown in table 4.20 and private age reallocations are reported in table 4.21.</w:t>
      </w:r>
    </w:p>
    <w:tbl>
      <w:tblPr>
        <w:tblW w:w="7190" w:type="dxa"/>
        <w:tblInd w:w="93" w:type="dxa"/>
        <w:tblLook w:val="00A0"/>
      </w:tblPr>
      <w:tblGrid>
        <w:gridCol w:w="6211"/>
        <w:gridCol w:w="979"/>
      </w:tblGrid>
      <w:tr w:rsidR="00031031" w:rsidRPr="004113A4" w:rsidTr="003D6E7E">
        <w:trPr>
          <w:trHeight w:val="300"/>
        </w:trPr>
        <w:tc>
          <w:tcPr>
            <w:tcW w:w="7190" w:type="dxa"/>
            <w:gridSpan w:val="2"/>
            <w:tcBorders>
              <w:top w:val="nil"/>
              <w:left w:val="nil"/>
              <w:bottom w:val="single" w:sz="4" w:space="0" w:color="auto"/>
              <w:right w:val="nil"/>
            </w:tcBorders>
            <w:noWrap/>
            <w:vAlign w:val="bottom"/>
          </w:tcPr>
          <w:p w:rsidR="00031031" w:rsidRPr="00C11C12" w:rsidRDefault="00031031" w:rsidP="00C11C12">
            <w:pPr>
              <w:spacing w:after="0" w:line="240" w:lineRule="auto"/>
              <w:rPr>
                <w:color w:val="000000"/>
              </w:rPr>
            </w:pPr>
            <w:r w:rsidRPr="00C11C12">
              <w:rPr>
                <w:color w:val="000000"/>
              </w:rPr>
              <w:t>Table 4.20</w:t>
            </w:r>
            <w:r>
              <w:rPr>
                <w:color w:val="000000"/>
              </w:rPr>
              <w:t>.</w:t>
            </w:r>
            <w:r w:rsidRPr="00C11C12">
              <w:rPr>
                <w:color w:val="000000"/>
              </w:rPr>
              <w:t xml:space="preserve"> Aggregate public age reallocations, </w:t>
            </w:r>
            <w:r>
              <w:rPr>
                <w:color w:val="000000"/>
              </w:rPr>
              <w:t>UNSNA,</w:t>
            </w:r>
            <w:r w:rsidRPr="00C11C12">
              <w:rPr>
                <w:color w:val="000000"/>
              </w:rPr>
              <w:t xml:space="preserve"> 2008</w:t>
            </w:r>
          </w:p>
        </w:tc>
      </w:tr>
      <w:tr w:rsidR="00031031" w:rsidRPr="004113A4" w:rsidTr="003D6E7E">
        <w:trPr>
          <w:trHeight w:val="300"/>
        </w:trPr>
        <w:tc>
          <w:tcPr>
            <w:tcW w:w="6211" w:type="dxa"/>
            <w:tcBorders>
              <w:top w:val="nil"/>
              <w:left w:val="nil"/>
              <w:bottom w:val="nil"/>
              <w:right w:val="nil"/>
            </w:tcBorders>
            <w:noWrap/>
            <w:vAlign w:val="bottom"/>
          </w:tcPr>
          <w:p w:rsidR="00031031" w:rsidRPr="00C11C12" w:rsidRDefault="00031031" w:rsidP="00C11C12">
            <w:pPr>
              <w:spacing w:after="0" w:line="240" w:lineRule="auto"/>
              <w:rPr>
                <w:b/>
                <w:bCs/>
                <w:color w:val="000000"/>
              </w:rPr>
            </w:pPr>
            <w:r w:rsidRPr="00C11C12">
              <w:rPr>
                <w:b/>
                <w:bCs/>
                <w:color w:val="000000"/>
              </w:rPr>
              <w:lastRenderedPageBreak/>
              <w:t xml:space="preserve">Public </w:t>
            </w:r>
            <w:r>
              <w:rPr>
                <w:b/>
                <w:bCs/>
                <w:color w:val="000000"/>
              </w:rPr>
              <w:t>a</w:t>
            </w:r>
            <w:r w:rsidRPr="00C11C12">
              <w:rPr>
                <w:b/>
                <w:bCs/>
                <w:color w:val="000000"/>
              </w:rPr>
              <w:t xml:space="preserve">ge </w:t>
            </w:r>
            <w:r>
              <w:rPr>
                <w:b/>
                <w:bCs/>
                <w:color w:val="000000"/>
              </w:rPr>
              <w:t>r</w:t>
            </w:r>
            <w:r w:rsidRPr="00C11C12">
              <w:rPr>
                <w:b/>
                <w:bCs/>
                <w:color w:val="000000"/>
              </w:rPr>
              <w:t>eallocations</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b/>
                <w:bCs/>
                <w:color w:val="000000"/>
              </w:rPr>
            </w:pPr>
            <w:r w:rsidRPr="00C11C12">
              <w:rPr>
                <w:b/>
                <w:bCs/>
                <w:color w:val="000000"/>
              </w:rPr>
              <w:t>12.3</w:t>
            </w:r>
          </w:p>
        </w:tc>
      </w:tr>
      <w:tr w:rsidR="00031031" w:rsidRPr="004113A4" w:rsidTr="003D6E7E">
        <w:trPr>
          <w:trHeight w:val="300"/>
        </w:trPr>
        <w:tc>
          <w:tcPr>
            <w:tcW w:w="6211" w:type="dxa"/>
            <w:tcBorders>
              <w:top w:val="nil"/>
              <w:left w:val="nil"/>
              <w:bottom w:val="nil"/>
              <w:right w:val="nil"/>
            </w:tcBorders>
            <w:noWrap/>
            <w:vAlign w:val="bottom"/>
          </w:tcPr>
          <w:p w:rsidR="00031031" w:rsidRPr="00C11C12" w:rsidRDefault="00031031" w:rsidP="00C11C12">
            <w:pPr>
              <w:spacing w:after="0" w:line="240" w:lineRule="auto"/>
              <w:rPr>
                <w:b/>
                <w:bCs/>
                <w:color w:val="000000"/>
              </w:rPr>
            </w:pPr>
            <w:r w:rsidRPr="00C11C12">
              <w:rPr>
                <w:b/>
                <w:bCs/>
                <w:color w:val="000000"/>
              </w:rPr>
              <w:t>Public transfers</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b/>
                <w:bCs/>
                <w:color w:val="000000"/>
              </w:rPr>
            </w:pPr>
            <w:r>
              <w:rPr>
                <w:b/>
                <w:bCs/>
                <w:color w:val="000000"/>
              </w:rPr>
              <w:t>–</w:t>
            </w:r>
            <w:r w:rsidRPr="00C11C12">
              <w:rPr>
                <w:b/>
                <w:bCs/>
                <w:color w:val="000000"/>
              </w:rPr>
              <w:t>29.7</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C11C12">
              <w:rPr>
                <w:color w:val="000000"/>
              </w:rPr>
              <w:t>Public transfer inflows</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471.3</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C11C12">
              <w:rPr>
                <w:color w:val="000000"/>
              </w:rPr>
              <w:t>Public transfer inflows, in-kind</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352.0</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C11C12">
              <w:rPr>
                <w:color w:val="000000"/>
              </w:rPr>
              <w:t>Public transfer inflows, cash</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119.3</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C11C12">
              <w:rPr>
                <w:color w:val="000000"/>
              </w:rPr>
              <w:t>Public transfer outflows</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500.9</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C11C12">
              <w:rPr>
                <w:color w:val="000000"/>
              </w:rPr>
              <w:t>Taxes and other revenues</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458.9</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C11C12">
              <w:rPr>
                <w:color w:val="000000"/>
              </w:rPr>
              <w:t>Transfer deficit(+)/surplus(-)</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42.0</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C11C12">
              <w:rPr>
                <w:color w:val="000000"/>
              </w:rPr>
              <w:t>Net public transfers from ROW</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Pr>
                <w:color w:val="000000"/>
              </w:rPr>
              <w:t>–</w:t>
            </w:r>
            <w:r w:rsidRPr="00C11C12">
              <w:rPr>
                <w:color w:val="000000"/>
              </w:rPr>
              <w:t>29.7</w:t>
            </w:r>
          </w:p>
        </w:tc>
      </w:tr>
      <w:tr w:rsidR="00031031" w:rsidRPr="004113A4" w:rsidTr="003D6E7E">
        <w:trPr>
          <w:trHeight w:val="300"/>
        </w:trPr>
        <w:tc>
          <w:tcPr>
            <w:tcW w:w="6211" w:type="dxa"/>
            <w:tcBorders>
              <w:top w:val="nil"/>
              <w:left w:val="nil"/>
              <w:bottom w:val="nil"/>
              <w:right w:val="nil"/>
            </w:tcBorders>
            <w:noWrap/>
            <w:vAlign w:val="bottom"/>
          </w:tcPr>
          <w:p w:rsidR="00031031" w:rsidRPr="00C11C12" w:rsidRDefault="00031031" w:rsidP="00C11C12">
            <w:pPr>
              <w:spacing w:after="0" w:line="240" w:lineRule="auto"/>
              <w:rPr>
                <w:b/>
                <w:bCs/>
                <w:color w:val="000000"/>
              </w:rPr>
            </w:pPr>
            <w:r w:rsidRPr="00C11C12">
              <w:rPr>
                <w:b/>
                <w:bCs/>
                <w:color w:val="000000"/>
              </w:rPr>
              <w:t>Public asset</w:t>
            </w:r>
            <w:r>
              <w:rPr>
                <w:b/>
                <w:bCs/>
                <w:color w:val="000000"/>
              </w:rPr>
              <w:t>–</w:t>
            </w:r>
            <w:r w:rsidRPr="00C11C12">
              <w:rPr>
                <w:b/>
                <w:bCs/>
                <w:color w:val="000000"/>
              </w:rPr>
              <w:t>based reallocations</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b/>
                <w:bCs/>
                <w:color w:val="000000"/>
              </w:rPr>
            </w:pPr>
            <w:r w:rsidRPr="00C11C12">
              <w:rPr>
                <w:b/>
                <w:bCs/>
                <w:color w:val="000000"/>
              </w:rPr>
              <w:t>42.0</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C11C12">
              <w:rPr>
                <w:color w:val="000000"/>
              </w:rPr>
              <w:t>Public asset income</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Pr>
                <w:color w:val="000000"/>
              </w:rPr>
              <w:t>–</w:t>
            </w:r>
            <w:r w:rsidRPr="00C11C12">
              <w:rPr>
                <w:color w:val="000000"/>
              </w:rPr>
              <w:t>20.0</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C11C12">
              <w:rPr>
                <w:color w:val="000000"/>
              </w:rPr>
              <w:t>Public capital income</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0.0</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C11C12">
              <w:rPr>
                <w:color w:val="000000"/>
              </w:rPr>
              <w:t>Public property income</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Pr>
                <w:color w:val="000000"/>
              </w:rPr>
              <w:t>–</w:t>
            </w:r>
            <w:r w:rsidRPr="00C11C12">
              <w:rPr>
                <w:color w:val="000000"/>
              </w:rPr>
              <w:t>20.0</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C11C12">
              <w:rPr>
                <w:color w:val="000000"/>
              </w:rPr>
              <w:t>Public property income inflows</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22.0</w:t>
            </w:r>
          </w:p>
        </w:tc>
      </w:tr>
      <w:tr w:rsidR="00031031" w:rsidRPr="004113A4" w:rsidTr="003D6E7E">
        <w:trPr>
          <w:trHeight w:val="300"/>
        </w:trPr>
        <w:tc>
          <w:tcPr>
            <w:tcW w:w="6211"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C11C12">
              <w:rPr>
                <w:color w:val="000000"/>
              </w:rPr>
              <w:t>Public property income outflows</w:t>
            </w:r>
          </w:p>
        </w:tc>
        <w:tc>
          <w:tcPr>
            <w:tcW w:w="979" w:type="dxa"/>
            <w:tcBorders>
              <w:top w:val="nil"/>
              <w:left w:val="nil"/>
              <w:bottom w:val="nil"/>
              <w:right w:val="nil"/>
            </w:tcBorders>
            <w:noWrap/>
            <w:vAlign w:val="bottom"/>
          </w:tcPr>
          <w:p w:rsidR="00031031" w:rsidRPr="00C11C12" w:rsidRDefault="00031031" w:rsidP="00C11C12">
            <w:pPr>
              <w:spacing w:after="0" w:line="240" w:lineRule="auto"/>
              <w:jc w:val="right"/>
              <w:rPr>
                <w:color w:val="000000"/>
              </w:rPr>
            </w:pPr>
            <w:r w:rsidRPr="00C11C12">
              <w:rPr>
                <w:color w:val="000000"/>
              </w:rPr>
              <w:t>42.0</w:t>
            </w:r>
          </w:p>
        </w:tc>
      </w:tr>
      <w:tr w:rsidR="00031031" w:rsidRPr="004113A4" w:rsidTr="003D6E7E">
        <w:trPr>
          <w:trHeight w:val="300"/>
        </w:trPr>
        <w:tc>
          <w:tcPr>
            <w:tcW w:w="6211" w:type="dxa"/>
            <w:tcBorders>
              <w:top w:val="nil"/>
              <w:left w:val="nil"/>
              <w:bottom w:val="single" w:sz="4" w:space="0" w:color="auto"/>
              <w:right w:val="nil"/>
            </w:tcBorders>
            <w:noWrap/>
            <w:vAlign w:val="bottom"/>
          </w:tcPr>
          <w:p w:rsidR="00031031" w:rsidRDefault="00031031" w:rsidP="000E7694">
            <w:pPr>
              <w:spacing w:after="0" w:line="240" w:lineRule="auto"/>
              <w:ind w:firstLineChars="100" w:firstLine="220"/>
              <w:rPr>
                <w:color w:val="000000"/>
              </w:rPr>
            </w:pPr>
            <w:r w:rsidRPr="00C11C12">
              <w:rPr>
                <w:color w:val="000000"/>
              </w:rPr>
              <w:t>Public saving</w:t>
            </w:r>
          </w:p>
        </w:tc>
        <w:tc>
          <w:tcPr>
            <w:tcW w:w="979" w:type="dxa"/>
            <w:tcBorders>
              <w:top w:val="nil"/>
              <w:left w:val="nil"/>
              <w:bottom w:val="single" w:sz="4" w:space="0" w:color="auto"/>
              <w:right w:val="nil"/>
            </w:tcBorders>
            <w:noWrap/>
            <w:vAlign w:val="bottom"/>
          </w:tcPr>
          <w:p w:rsidR="00031031" w:rsidRPr="00C11C12" w:rsidRDefault="00031031" w:rsidP="00C11C12">
            <w:pPr>
              <w:spacing w:after="0" w:line="240" w:lineRule="auto"/>
              <w:jc w:val="right"/>
              <w:rPr>
                <w:color w:val="000000"/>
              </w:rPr>
            </w:pPr>
            <w:r>
              <w:rPr>
                <w:color w:val="000000"/>
              </w:rPr>
              <w:t>–</w:t>
            </w:r>
            <w:r w:rsidRPr="00C11C12">
              <w:rPr>
                <w:color w:val="000000"/>
              </w:rPr>
              <w:t>62.0</w:t>
            </w:r>
          </w:p>
        </w:tc>
      </w:tr>
    </w:tbl>
    <w:p w:rsidR="00031031" w:rsidRDefault="00031031" w:rsidP="003D6E7E">
      <w:pPr>
        <w:pStyle w:val="Heading1"/>
      </w:pPr>
    </w:p>
    <w:p w:rsidR="00031031" w:rsidRDefault="00031031">
      <w:pPr>
        <w:rPr>
          <w:rFonts w:ascii="Cambria" w:hAnsi="Cambria"/>
          <w:b/>
          <w:bCs/>
          <w:color w:val="365F91"/>
          <w:sz w:val="28"/>
          <w:szCs w:val="28"/>
        </w:rPr>
      </w:pPr>
      <w:r>
        <w:br w:type="page"/>
      </w:r>
    </w:p>
    <w:tbl>
      <w:tblPr>
        <w:tblW w:w="6256" w:type="dxa"/>
        <w:tblInd w:w="93" w:type="dxa"/>
        <w:tblLook w:val="00A0"/>
      </w:tblPr>
      <w:tblGrid>
        <w:gridCol w:w="5538"/>
        <w:gridCol w:w="718"/>
      </w:tblGrid>
      <w:tr w:rsidR="00031031" w:rsidRPr="004113A4" w:rsidTr="00CA30C0">
        <w:trPr>
          <w:trHeight w:val="300"/>
        </w:trPr>
        <w:tc>
          <w:tcPr>
            <w:tcW w:w="6256" w:type="dxa"/>
            <w:gridSpan w:val="2"/>
            <w:tcBorders>
              <w:top w:val="nil"/>
              <w:left w:val="nil"/>
              <w:bottom w:val="single" w:sz="4" w:space="0" w:color="auto"/>
              <w:right w:val="nil"/>
            </w:tcBorders>
            <w:noWrap/>
            <w:vAlign w:val="bottom"/>
          </w:tcPr>
          <w:p w:rsidR="00031031" w:rsidRPr="003D6E7E" w:rsidRDefault="00031031" w:rsidP="003D6E7E">
            <w:pPr>
              <w:spacing w:after="0" w:line="240" w:lineRule="auto"/>
              <w:rPr>
                <w:color w:val="000000"/>
              </w:rPr>
            </w:pPr>
            <w:r w:rsidRPr="003D6E7E">
              <w:rPr>
                <w:color w:val="000000"/>
              </w:rPr>
              <w:t>Table 4.21</w:t>
            </w:r>
            <w:r>
              <w:rPr>
                <w:color w:val="000000"/>
              </w:rPr>
              <w:t>.</w:t>
            </w:r>
            <w:r w:rsidRPr="003D6E7E">
              <w:rPr>
                <w:color w:val="000000"/>
              </w:rPr>
              <w:t xml:space="preserve"> Aggregate private age reallocations, </w:t>
            </w:r>
            <w:r>
              <w:rPr>
                <w:color w:val="000000"/>
              </w:rPr>
              <w:t>UNSNA,</w:t>
            </w:r>
            <w:r w:rsidRPr="003D6E7E">
              <w:rPr>
                <w:color w:val="000000"/>
              </w:rPr>
              <w:t xml:space="preserve"> 2008</w:t>
            </w:r>
          </w:p>
        </w:tc>
      </w:tr>
      <w:tr w:rsidR="00031031" w:rsidRPr="004113A4" w:rsidTr="00CA30C0">
        <w:trPr>
          <w:trHeight w:val="300"/>
        </w:trPr>
        <w:tc>
          <w:tcPr>
            <w:tcW w:w="5538" w:type="dxa"/>
            <w:tcBorders>
              <w:top w:val="nil"/>
              <w:left w:val="nil"/>
              <w:bottom w:val="nil"/>
              <w:right w:val="nil"/>
            </w:tcBorders>
            <w:noWrap/>
            <w:vAlign w:val="bottom"/>
          </w:tcPr>
          <w:p w:rsidR="00031031" w:rsidRPr="003D6E7E" w:rsidRDefault="00031031" w:rsidP="003D6E7E">
            <w:pPr>
              <w:spacing w:after="0" w:line="240" w:lineRule="auto"/>
              <w:rPr>
                <w:color w:val="000000"/>
              </w:rPr>
            </w:pPr>
            <w:r w:rsidRPr="003D6E7E">
              <w:rPr>
                <w:color w:val="000000"/>
              </w:rPr>
              <w:t xml:space="preserve">Age </w:t>
            </w:r>
            <w:r>
              <w:rPr>
                <w:color w:val="000000"/>
              </w:rPr>
              <w:t>r</w:t>
            </w:r>
            <w:r w:rsidRPr="003D6E7E">
              <w:rPr>
                <w:color w:val="000000"/>
              </w:rPr>
              <w:t>eallocations</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29.5</w:t>
            </w:r>
          </w:p>
        </w:tc>
      </w:tr>
      <w:tr w:rsidR="00031031" w:rsidRPr="004113A4" w:rsidTr="00CA30C0">
        <w:trPr>
          <w:trHeight w:val="300"/>
        </w:trPr>
        <w:tc>
          <w:tcPr>
            <w:tcW w:w="5538" w:type="dxa"/>
            <w:tcBorders>
              <w:top w:val="nil"/>
              <w:left w:val="nil"/>
              <w:bottom w:val="nil"/>
              <w:right w:val="nil"/>
            </w:tcBorders>
            <w:noWrap/>
            <w:vAlign w:val="bottom"/>
          </w:tcPr>
          <w:p w:rsidR="00031031" w:rsidRPr="003D6E7E" w:rsidRDefault="00031031" w:rsidP="003D6E7E">
            <w:pPr>
              <w:spacing w:after="0" w:line="240" w:lineRule="auto"/>
              <w:rPr>
                <w:b/>
                <w:bCs/>
                <w:color w:val="000000"/>
              </w:rPr>
            </w:pPr>
            <w:r w:rsidRPr="003D6E7E">
              <w:rPr>
                <w:b/>
                <w:bCs/>
                <w:color w:val="000000"/>
              </w:rPr>
              <w:t xml:space="preserve">Private </w:t>
            </w:r>
            <w:r>
              <w:rPr>
                <w:b/>
                <w:bCs/>
                <w:color w:val="000000"/>
              </w:rPr>
              <w:t>a</w:t>
            </w:r>
            <w:r w:rsidRPr="003D6E7E">
              <w:rPr>
                <w:b/>
                <w:bCs/>
                <w:color w:val="000000"/>
              </w:rPr>
              <w:t xml:space="preserve">ge </w:t>
            </w:r>
            <w:r>
              <w:rPr>
                <w:b/>
                <w:bCs/>
                <w:color w:val="000000"/>
              </w:rPr>
              <w:t>r</w:t>
            </w:r>
            <w:r w:rsidRPr="003D6E7E">
              <w:rPr>
                <w:b/>
                <w:bCs/>
                <w:color w:val="000000"/>
              </w:rPr>
              <w:t>eallocations</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17.2</w:t>
            </w:r>
          </w:p>
        </w:tc>
      </w:tr>
      <w:tr w:rsidR="00031031" w:rsidRPr="004113A4" w:rsidTr="00CA30C0">
        <w:trPr>
          <w:trHeight w:val="300"/>
        </w:trPr>
        <w:tc>
          <w:tcPr>
            <w:tcW w:w="5538" w:type="dxa"/>
            <w:tcBorders>
              <w:top w:val="nil"/>
              <w:left w:val="nil"/>
              <w:bottom w:val="nil"/>
              <w:right w:val="nil"/>
            </w:tcBorders>
            <w:noWrap/>
            <w:vAlign w:val="bottom"/>
          </w:tcPr>
          <w:p w:rsidR="00031031" w:rsidRPr="003D6E7E" w:rsidRDefault="00031031" w:rsidP="003D6E7E">
            <w:pPr>
              <w:spacing w:after="0" w:line="240" w:lineRule="auto"/>
              <w:rPr>
                <w:b/>
                <w:bCs/>
                <w:color w:val="000000"/>
              </w:rPr>
            </w:pPr>
            <w:r w:rsidRPr="003D6E7E">
              <w:rPr>
                <w:b/>
                <w:bCs/>
                <w:color w:val="000000"/>
              </w:rPr>
              <w:t>Private transfers</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Pr>
                <w:color w:val="000000"/>
              </w:rPr>
              <w:t>–</w:t>
            </w:r>
            <w:r w:rsidRPr="003D6E7E">
              <w:rPr>
                <w:color w:val="000000"/>
              </w:rPr>
              <w:t>8.3</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3D6E7E">
              <w:rPr>
                <w:color w:val="000000"/>
              </w:rPr>
              <w:t>Private transfer inflows</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na</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3D6E7E">
              <w:rPr>
                <w:color w:val="000000"/>
              </w:rPr>
              <w:t>Private transfer inflows, inter</w:t>
            </w:r>
            <w:r>
              <w:rPr>
                <w:color w:val="000000"/>
              </w:rPr>
              <w:t>-</w:t>
            </w:r>
            <w:r w:rsidRPr="003D6E7E">
              <w:rPr>
                <w:color w:val="000000"/>
              </w:rPr>
              <w:t>household</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na</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3D6E7E">
              <w:rPr>
                <w:color w:val="000000"/>
              </w:rPr>
              <w:t>Private transfers inflows, intra</w:t>
            </w:r>
            <w:r>
              <w:rPr>
                <w:color w:val="000000"/>
              </w:rPr>
              <w:t>-</w:t>
            </w:r>
            <w:r w:rsidRPr="003D6E7E">
              <w:rPr>
                <w:color w:val="000000"/>
              </w:rPr>
              <w:t>household</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na</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3D6E7E">
              <w:rPr>
                <w:color w:val="000000"/>
              </w:rPr>
              <w:t>Private transfer outflows</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na</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3D6E7E">
              <w:rPr>
                <w:color w:val="000000"/>
              </w:rPr>
              <w:t>Private transfer inflows, inter</w:t>
            </w:r>
            <w:r>
              <w:rPr>
                <w:color w:val="000000"/>
              </w:rPr>
              <w:t>-</w:t>
            </w:r>
            <w:r w:rsidRPr="003D6E7E">
              <w:rPr>
                <w:color w:val="000000"/>
              </w:rPr>
              <w:t>household</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na</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3D6E7E">
              <w:rPr>
                <w:color w:val="000000"/>
              </w:rPr>
              <w:t>Private transfers inflows, intra</w:t>
            </w:r>
            <w:r>
              <w:rPr>
                <w:color w:val="000000"/>
              </w:rPr>
              <w:t>-</w:t>
            </w:r>
            <w:r w:rsidRPr="003D6E7E">
              <w:rPr>
                <w:color w:val="000000"/>
              </w:rPr>
              <w:t>household</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na</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3D6E7E">
              <w:rPr>
                <w:color w:val="000000"/>
              </w:rPr>
              <w:t xml:space="preserve">Net </w:t>
            </w:r>
            <w:r>
              <w:rPr>
                <w:color w:val="000000"/>
              </w:rPr>
              <w:t>p</w:t>
            </w:r>
            <w:r w:rsidRPr="003D6E7E">
              <w:rPr>
                <w:color w:val="000000"/>
              </w:rPr>
              <w:t>rivate transfers from ROW</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Pr>
                <w:color w:val="000000"/>
              </w:rPr>
              <w:t>–</w:t>
            </w:r>
            <w:r w:rsidRPr="003D6E7E">
              <w:rPr>
                <w:color w:val="000000"/>
              </w:rPr>
              <w:t>8.3</w:t>
            </w:r>
          </w:p>
        </w:tc>
      </w:tr>
      <w:tr w:rsidR="00031031" w:rsidRPr="004113A4" w:rsidTr="00CA30C0">
        <w:trPr>
          <w:trHeight w:val="300"/>
        </w:trPr>
        <w:tc>
          <w:tcPr>
            <w:tcW w:w="5538" w:type="dxa"/>
            <w:tcBorders>
              <w:top w:val="nil"/>
              <w:left w:val="nil"/>
              <w:bottom w:val="nil"/>
              <w:right w:val="nil"/>
            </w:tcBorders>
            <w:noWrap/>
            <w:vAlign w:val="bottom"/>
          </w:tcPr>
          <w:p w:rsidR="00031031" w:rsidRPr="003D6E7E" w:rsidRDefault="00031031" w:rsidP="003D6E7E">
            <w:pPr>
              <w:spacing w:after="0" w:line="240" w:lineRule="auto"/>
              <w:rPr>
                <w:b/>
                <w:bCs/>
                <w:color w:val="000000"/>
              </w:rPr>
            </w:pPr>
            <w:r w:rsidRPr="003D6E7E">
              <w:rPr>
                <w:b/>
                <w:bCs/>
                <w:color w:val="000000"/>
              </w:rPr>
              <w:t>Private asset</w:t>
            </w:r>
            <w:r>
              <w:rPr>
                <w:b/>
                <w:bCs/>
                <w:color w:val="000000"/>
              </w:rPr>
              <w:t>–</w:t>
            </w:r>
            <w:r w:rsidRPr="003D6E7E">
              <w:rPr>
                <w:b/>
                <w:bCs/>
                <w:color w:val="000000"/>
              </w:rPr>
              <w:t>based reallocations</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b/>
                <w:bCs/>
                <w:color w:val="000000"/>
              </w:rPr>
            </w:pPr>
            <w:r w:rsidRPr="003D6E7E">
              <w:rPr>
                <w:b/>
                <w:bCs/>
                <w:color w:val="000000"/>
              </w:rPr>
              <w:t>25.5</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100" w:firstLine="220"/>
              <w:rPr>
                <w:color w:val="000000"/>
              </w:rPr>
            </w:pPr>
            <w:r w:rsidRPr="003D6E7E">
              <w:rPr>
                <w:color w:val="000000"/>
              </w:rPr>
              <w:t>Private asset income</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292.5</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3D6E7E">
              <w:rPr>
                <w:color w:val="000000"/>
              </w:rPr>
              <w:t>Private capital income</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266.5</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3D6E7E">
              <w:rPr>
                <w:color w:val="000000"/>
              </w:rPr>
              <w:t>Private capital income, corporations and NPISHS</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184.3</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3D6E7E">
              <w:rPr>
                <w:color w:val="000000"/>
              </w:rPr>
              <w:t>Private capital income, owner occupied housing</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69.0</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3D6E7E">
              <w:rPr>
                <w:color w:val="000000"/>
              </w:rPr>
              <w:t>Private capital income from mixed income</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13.2</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200" w:firstLine="440"/>
              <w:rPr>
                <w:color w:val="000000"/>
              </w:rPr>
            </w:pPr>
            <w:r w:rsidRPr="003D6E7E">
              <w:rPr>
                <w:color w:val="000000"/>
              </w:rPr>
              <w:t>Private property income</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26.0</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3D6E7E">
              <w:rPr>
                <w:color w:val="000000"/>
              </w:rPr>
              <w:t>Private property income inflows</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375.0</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300" w:firstLine="660"/>
              <w:rPr>
                <w:color w:val="000000"/>
              </w:rPr>
            </w:pPr>
            <w:r w:rsidRPr="003D6E7E">
              <w:rPr>
                <w:color w:val="000000"/>
              </w:rPr>
              <w:t>Private property income outflows</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349.0</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400" w:firstLine="880"/>
              <w:rPr>
                <w:color w:val="000000"/>
              </w:rPr>
            </w:pPr>
            <w:r w:rsidRPr="003D6E7E">
              <w:rPr>
                <w:color w:val="000000"/>
              </w:rPr>
              <w:t>Consumer credit</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14.0</w:t>
            </w:r>
          </w:p>
        </w:tc>
      </w:tr>
      <w:tr w:rsidR="00031031" w:rsidRPr="004113A4" w:rsidTr="00CA30C0">
        <w:trPr>
          <w:trHeight w:val="300"/>
        </w:trPr>
        <w:tc>
          <w:tcPr>
            <w:tcW w:w="5538" w:type="dxa"/>
            <w:tcBorders>
              <w:top w:val="nil"/>
              <w:left w:val="nil"/>
              <w:bottom w:val="nil"/>
              <w:right w:val="nil"/>
            </w:tcBorders>
            <w:noWrap/>
            <w:vAlign w:val="bottom"/>
          </w:tcPr>
          <w:p w:rsidR="00031031" w:rsidRDefault="00031031" w:rsidP="000E7694">
            <w:pPr>
              <w:spacing w:after="0" w:line="240" w:lineRule="auto"/>
              <w:ind w:firstLineChars="400" w:firstLine="880"/>
              <w:rPr>
                <w:color w:val="000000"/>
              </w:rPr>
            </w:pPr>
            <w:r w:rsidRPr="003D6E7E">
              <w:rPr>
                <w:color w:val="000000"/>
              </w:rPr>
              <w:t>Other private property income outflows</w:t>
            </w:r>
          </w:p>
        </w:tc>
        <w:tc>
          <w:tcPr>
            <w:tcW w:w="718" w:type="dxa"/>
            <w:tcBorders>
              <w:top w:val="nil"/>
              <w:left w:val="nil"/>
              <w:bottom w:val="nil"/>
              <w:right w:val="nil"/>
            </w:tcBorders>
            <w:noWrap/>
            <w:vAlign w:val="bottom"/>
          </w:tcPr>
          <w:p w:rsidR="00031031" w:rsidRPr="003D6E7E" w:rsidRDefault="00031031" w:rsidP="003D6E7E">
            <w:pPr>
              <w:spacing w:after="0" w:line="240" w:lineRule="auto"/>
              <w:jc w:val="right"/>
              <w:rPr>
                <w:color w:val="000000"/>
              </w:rPr>
            </w:pPr>
            <w:r w:rsidRPr="003D6E7E">
              <w:rPr>
                <w:color w:val="000000"/>
              </w:rPr>
              <w:t>335.0</w:t>
            </w:r>
          </w:p>
        </w:tc>
      </w:tr>
      <w:tr w:rsidR="00031031" w:rsidRPr="004113A4" w:rsidTr="00CA30C0">
        <w:trPr>
          <w:trHeight w:val="300"/>
        </w:trPr>
        <w:tc>
          <w:tcPr>
            <w:tcW w:w="5538" w:type="dxa"/>
            <w:tcBorders>
              <w:top w:val="nil"/>
              <w:left w:val="nil"/>
              <w:bottom w:val="single" w:sz="4" w:space="0" w:color="auto"/>
              <w:right w:val="nil"/>
            </w:tcBorders>
            <w:noWrap/>
            <w:vAlign w:val="bottom"/>
          </w:tcPr>
          <w:p w:rsidR="00031031" w:rsidRDefault="00031031" w:rsidP="000E7694">
            <w:pPr>
              <w:spacing w:after="0" w:line="240" w:lineRule="auto"/>
              <w:ind w:firstLineChars="100" w:firstLine="220"/>
              <w:rPr>
                <w:color w:val="000000"/>
              </w:rPr>
            </w:pPr>
            <w:r w:rsidRPr="003D6E7E">
              <w:rPr>
                <w:color w:val="000000"/>
              </w:rPr>
              <w:t>Private saving</w:t>
            </w:r>
          </w:p>
        </w:tc>
        <w:tc>
          <w:tcPr>
            <w:tcW w:w="718" w:type="dxa"/>
            <w:tcBorders>
              <w:top w:val="nil"/>
              <w:left w:val="nil"/>
              <w:bottom w:val="single" w:sz="4" w:space="0" w:color="auto"/>
              <w:right w:val="nil"/>
            </w:tcBorders>
            <w:noWrap/>
            <w:vAlign w:val="bottom"/>
          </w:tcPr>
          <w:p w:rsidR="00031031" w:rsidRPr="003D6E7E" w:rsidRDefault="00031031" w:rsidP="003D6E7E">
            <w:pPr>
              <w:spacing w:after="0" w:line="240" w:lineRule="auto"/>
              <w:jc w:val="right"/>
              <w:rPr>
                <w:color w:val="000000"/>
              </w:rPr>
            </w:pPr>
            <w:r w:rsidRPr="003D6E7E">
              <w:rPr>
                <w:color w:val="000000"/>
              </w:rPr>
              <w:t>267.0</w:t>
            </w:r>
          </w:p>
        </w:tc>
      </w:tr>
      <w:tr w:rsidR="00031031" w:rsidRPr="004113A4" w:rsidTr="00CA30C0">
        <w:trPr>
          <w:trHeight w:val="300"/>
        </w:trPr>
        <w:tc>
          <w:tcPr>
            <w:tcW w:w="5538" w:type="dxa"/>
            <w:tcBorders>
              <w:top w:val="nil"/>
              <w:left w:val="nil"/>
              <w:bottom w:val="nil"/>
              <w:right w:val="nil"/>
            </w:tcBorders>
            <w:noWrap/>
            <w:vAlign w:val="bottom"/>
          </w:tcPr>
          <w:p w:rsidR="00031031" w:rsidRPr="003D6E7E" w:rsidRDefault="00031031" w:rsidP="003D6E7E">
            <w:pPr>
              <w:spacing w:after="0" w:line="240" w:lineRule="auto"/>
              <w:rPr>
                <w:color w:val="000000"/>
              </w:rPr>
            </w:pPr>
            <w:r>
              <w:rPr>
                <w:color w:val="000000"/>
              </w:rPr>
              <w:t>n</w:t>
            </w:r>
            <w:r w:rsidRPr="003D6E7E">
              <w:rPr>
                <w:color w:val="000000"/>
              </w:rPr>
              <w:t>a</w:t>
            </w:r>
            <w:r>
              <w:rPr>
                <w:color w:val="000000"/>
              </w:rPr>
              <w:t xml:space="preserve"> = </w:t>
            </w:r>
            <w:r w:rsidRPr="003D6E7E">
              <w:rPr>
                <w:color w:val="000000"/>
              </w:rPr>
              <w:t>Values cannot be obtained from SNA.</w:t>
            </w:r>
          </w:p>
        </w:tc>
        <w:tc>
          <w:tcPr>
            <w:tcW w:w="718" w:type="dxa"/>
            <w:tcBorders>
              <w:top w:val="nil"/>
              <w:left w:val="nil"/>
              <w:bottom w:val="nil"/>
              <w:right w:val="nil"/>
            </w:tcBorders>
            <w:noWrap/>
            <w:vAlign w:val="bottom"/>
          </w:tcPr>
          <w:p w:rsidR="00031031" w:rsidRPr="003D6E7E" w:rsidRDefault="00031031" w:rsidP="003D6E7E">
            <w:pPr>
              <w:spacing w:after="0" w:line="240" w:lineRule="auto"/>
              <w:rPr>
                <w:color w:val="000000"/>
              </w:rPr>
            </w:pPr>
          </w:p>
        </w:tc>
      </w:tr>
    </w:tbl>
    <w:p w:rsidR="00031031" w:rsidRDefault="00031031" w:rsidP="003D6E7E">
      <w:pPr>
        <w:pStyle w:val="Heading1"/>
      </w:pPr>
      <w:r>
        <w:t>4.5 NTA identities and evaluating results</w:t>
      </w:r>
    </w:p>
    <w:p w:rsidR="00031031" w:rsidRDefault="00031031" w:rsidP="00B866B3">
      <w:r>
        <w:t>For each set of aggregate controls a set of identities holds that can be useful for evaluating results.</w:t>
      </w:r>
    </w:p>
    <w:p w:rsidR="00031031" w:rsidRDefault="00031031" w:rsidP="00B866B3">
      <w:r>
        <w:t xml:space="preserve">The following identities hold for aggregate life cycle flows: </w:t>
      </w:r>
    </w:p>
    <w:p w:rsidR="00031031" w:rsidRDefault="00031031" w:rsidP="00B866B3">
      <w:pPr>
        <w:pStyle w:val="ListParagraph"/>
        <w:numPr>
          <w:ilvl w:val="0"/>
          <w:numId w:val="21"/>
          <w:numberingChange w:id="6" w:author="Unknown" w:date="2013-11-14T10:11:00Z" w:original=""/>
        </w:numPr>
      </w:pPr>
      <w:r>
        <w:t>Lifecycle deficit = Consumption – Labour income</w:t>
      </w:r>
    </w:p>
    <w:p w:rsidR="00031031" w:rsidRDefault="00031031" w:rsidP="00B866B3">
      <w:pPr>
        <w:pStyle w:val="ListParagraph"/>
        <w:numPr>
          <w:ilvl w:val="0"/>
          <w:numId w:val="21"/>
          <w:numberingChange w:id="7" w:author="Unknown" w:date="2013-11-14T10:11:00Z" w:original=""/>
        </w:numPr>
      </w:pPr>
      <w:r>
        <w:t>Consumption = Public consumption + Private consumption</w:t>
      </w:r>
    </w:p>
    <w:p w:rsidR="00031031" w:rsidRDefault="00031031" w:rsidP="00B866B3">
      <w:pPr>
        <w:pStyle w:val="ListParagraph"/>
        <w:numPr>
          <w:ilvl w:val="0"/>
          <w:numId w:val="21"/>
          <w:numberingChange w:id="8" w:author="Unknown" w:date="2013-11-14T10:11:00Z" w:original=""/>
        </w:numPr>
      </w:pPr>
      <w:r>
        <w:t xml:space="preserve">Labour income = Earnings + Self-employment labour income. </w:t>
      </w:r>
    </w:p>
    <w:p w:rsidR="00031031" w:rsidRDefault="00031031" w:rsidP="00B866B3">
      <w:r>
        <w:t xml:space="preserve">The following identities hold for public age reallocations: </w:t>
      </w:r>
    </w:p>
    <w:p w:rsidR="00031031" w:rsidRDefault="00031031" w:rsidP="00B866B3">
      <w:pPr>
        <w:pStyle w:val="ListParagraph"/>
        <w:numPr>
          <w:ilvl w:val="0"/>
          <w:numId w:val="22"/>
          <w:numberingChange w:id="9" w:author="Unknown" w:date="2013-11-14T10:11:00Z" w:original=""/>
        </w:numPr>
      </w:pPr>
      <w:r>
        <w:t>Public age reallocations = Public transfers + Public asset-based reallocations</w:t>
      </w:r>
    </w:p>
    <w:p w:rsidR="00031031" w:rsidRDefault="00031031" w:rsidP="00B866B3">
      <w:pPr>
        <w:pStyle w:val="ListParagraph"/>
        <w:numPr>
          <w:ilvl w:val="0"/>
          <w:numId w:val="22"/>
          <w:numberingChange w:id="10" w:author="Unknown" w:date="2013-11-14T10:11:00Z" w:original=""/>
        </w:numPr>
      </w:pPr>
      <w:r>
        <w:t>Public transfers = Public transfer inflows – Public transfer outflows</w:t>
      </w:r>
    </w:p>
    <w:p w:rsidR="00031031" w:rsidRDefault="00031031" w:rsidP="00B866B3">
      <w:pPr>
        <w:pStyle w:val="ListParagraph"/>
        <w:numPr>
          <w:ilvl w:val="0"/>
          <w:numId w:val="22"/>
          <w:numberingChange w:id="11" w:author="Unknown" w:date="2013-11-14T10:11:00Z" w:original=""/>
        </w:numPr>
      </w:pPr>
      <w:r>
        <w:t>Public transfer inflows = Public transfer inflows, in-kind + Public transfer inflows, cash</w:t>
      </w:r>
    </w:p>
    <w:p w:rsidR="00031031" w:rsidRDefault="00031031" w:rsidP="00B866B3">
      <w:pPr>
        <w:pStyle w:val="ListParagraph"/>
        <w:numPr>
          <w:ilvl w:val="0"/>
          <w:numId w:val="22"/>
          <w:numberingChange w:id="12" w:author="Unknown" w:date="2013-11-14T10:11:00Z" w:original=""/>
        </w:numPr>
      </w:pPr>
      <w:r>
        <w:t>Public transfer outflows = Public transfer inflows – Net public transfers from ROW</w:t>
      </w:r>
    </w:p>
    <w:p w:rsidR="00031031" w:rsidRDefault="00031031" w:rsidP="00B866B3">
      <w:pPr>
        <w:pStyle w:val="ListParagraph"/>
        <w:numPr>
          <w:ilvl w:val="0"/>
          <w:numId w:val="22"/>
          <w:numberingChange w:id="13" w:author="Unknown" w:date="2013-11-14T10:11:00Z" w:original=""/>
        </w:numPr>
      </w:pPr>
      <w:r>
        <w:t>Transfer deficit/surplus = Public transfer outflows – Taxes and other revenues</w:t>
      </w:r>
    </w:p>
    <w:p w:rsidR="00031031" w:rsidRDefault="00031031" w:rsidP="00B866B3">
      <w:pPr>
        <w:pStyle w:val="ListParagraph"/>
        <w:numPr>
          <w:ilvl w:val="0"/>
          <w:numId w:val="22"/>
          <w:numberingChange w:id="14" w:author="Unknown" w:date="2013-11-14T10:11:00Z" w:original=""/>
        </w:numPr>
      </w:pPr>
      <w:r>
        <w:lastRenderedPageBreak/>
        <w:t>Public asset-based reallocations = Public asset income – Public saving</w:t>
      </w:r>
    </w:p>
    <w:p w:rsidR="00031031" w:rsidRDefault="00031031" w:rsidP="00B866B3">
      <w:pPr>
        <w:pStyle w:val="ListParagraph"/>
        <w:numPr>
          <w:ilvl w:val="0"/>
          <w:numId w:val="22"/>
          <w:numberingChange w:id="15" w:author="Unknown" w:date="2013-11-14T10:11:00Z" w:original=""/>
        </w:numPr>
      </w:pPr>
      <w:r>
        <w:t>Public asset income = public capital income + public property income</w:t>
      </w:r>
    </w:p>
    <w:p w:rsidR="00031031" w:rsidRDefault="00031031" w:rsidP="00B866B3">
      <w:pPr>
        <w:pStyle w:val="ListParagraph"/>
        <w:numPr>
          <w:ilvl w:val="0"/>
          <w:numId w:val="22"/>
          <w:numberingChange w:id="16" w:author="Unknown" w:date="2013-11-14T10:11:00Z" w:original=""/>
        </w:numPr>
      </w:pPr>
      <w:r>
        <w:t>Public property income = Public property income inflows – Public property income outflows.</w:t>
      </w:r>
    </w:p>
    <w:p w:rsidR="00031031" w:rsidRDefault="00031031" w:rsidP="00B866B3">
      <w:r>
        <w:t xml:space="preserve">The following identity holds for private age reallocations: </w:t>
      </w:r>
    </w:p>
    <w:p w:rsidR="00031031" w:rsidRDefault="00031031" w:rsidP="00B866B3">
      <w:pPr>
        <w:pStyle w:val="ListParagraph"/>
        <w:numPr>
          <w:ilvl w:val="0"/>
          <w:numId w:val="24"/>
          <w:numberingChange w:id="17" w:author="Unknown" w:date="2013-11-14T10:11:00Z" w:original=""/>
        </w:numPr>
      </w:pPr>
      <w:r>
        <w:t>Private age reallocations = Private transfers + Private asset–based reallocations</w:t>
      </w:r>
    </w:p>
    <w:p w:rsidR="00031031" w:rsidRDefault="00031031" w:rsidP="00B866B3">
      <w:pPr>
        <w:pStyle w:val="ListParagraph"/>
        <w:numPr>
          <w:ilvl w:val="0"/>
          <w:numId w:val="24"/>
          <w:numberingChange w:id="18" w:author="Unknown" w:date="2013-11-14T10:11:00Z" w:original=""/>
        </w:numPr>
      </w:pPr>
      <w:r>
        <w:t>Private transfers = Net private transfers from ROW</w:t>
      </w:r>
    </w:p>
    <w:p w:rsidR="00031031" w:rsidRDefault="00031031" w:rsidP="003F49CE">
      <w:pPr>
        <w:pStyle w:val="ListParagraph"/>
        <w:numPr>
          <w:ilvl w:val="0"/>
          <w:numId w:val="24"/>
          <w:numberingChange w:id="19" w:author="Unknown" w:date="2013-11-14T10:11:00Z" w:original=""/>
        </w:numPr>
      </w:pPr>
      <w:r>
        <w:t>Private asset–based reallocations = Private asset income – Private saving</w:t>
      </w:r>
    </w:p>
    <w:p w:rsidR="00031031" w:rsidRDefault="00031031" w:rsidP="003F49CE">
      <w:pPr>
        <w:pStyle w:val="ListParagraph"/>
        <w:numPr>
          <w:ilvl w:val="0"/>
          <w:numId w:val="24"/>
          <w:numberingChange w:id="20" w:author="Unknown" w:date="2013-11-14T10:11:00Z" w:original=""/>
        </w:numPr>
      </w:pPr>
      <w:r>
        <w:t>Private asset income = Private capital income + Private property income</w:t>
      </w:r>
    </w:p>
    <w:p w:rsidR="00031031" w:rsidRDefault="00031031" w:rsidP="003F49CE">
      <w:pPr>
        <w:pStyle w:val="ListParagraph"/>
        <w:numPr>
          <w:ilvl w:val="0"/>
          <w:numId w:val="24"/>
          <w:numberingChange w:id="21" w:author="Unknown" w:date="2013-11-14T10:11:00Z" w:original=""/>
        </w:numPr>
      </w:pPr>
      <w:r>
        <w:t>Private capital income = Private capital income, business and non-profits + Private capital income, owner occupied housing</w:t>
      </w:r>
    </w:p>
    <w:p w:rsidR="00031031" w:rsidRDefault="00031031" w:rsidP="003F49CE">
      <w:pPr>
        <w:pStyle w:val="ListParagraph"/>
        <w:numPr>
          <w:ilvl w:val="0"/>
          <w:numId w:val="24"/>
          <w:numberingChange w:id="22" w:author="Unknown" w:date="2013-11-14T10:11:00Z" w:original=""/>
        </w:numPr>
      </w:pPr>
      <w:r>
        <w:t>Private property income = Private property income inflows – Private property income outflows.</w:t>
      </w:r>
    </w:p>
    <w:p w:rsidR="00031031" w:rsidRDefault="00031031" w:rsidP="003F49CE">
      <w:r>
        <w:t xml:space="preserve">Several additional identities hold for private age reallocations that can be confirmed only after private transfers by age have been constructed: </w:t>
      </w:r>
    </w:p>
    <w:p w:rsidR="00031031" w:rsidRDefault="00031031" w:rsidP="003F49CE">
      <w:pPr>
        <w:pStyle w:val="ListParagraph"/>
        <w:numPr>
          <w:ilvl w:val="0"/>
          <w:numId w:val="25"/>
          <w:numberingChange w:id="23" w:author="Unknown" w:date="2013-11-14T10:11:00Z" w:original=""/>
        </w:numPr>
      </w:pPr>
      <w:r>
        <w:t>Private transfers = Private transfer inflows – Private transfer outflows</w:t>
      </w:r>
    </w:p>
    <w:p w:rsidR="00031031" w:rsidRDefault="00031031" w:rsidP="003F49CE">
      <w:pPr>
        <w:pStyle w:val="ListParagraph"/>
        <w:numPr>
          <w:ilvl w:val="0"/>
          <w:numId w:val="25"/>
          <w:numberingChange w:id="24" w:author="Unknown" w:date="2013-11-14T10:11:00Z" w:original=""/>
        </w:numPr>
      </w:pPr>
      <w:r>
        <w:t>Private transfer inflows = Private transfer inflows, inter-household + Private transfer inflows, intra-household</w:t>
      </w:r>
    </w:p>
    <w:p w:rsidR="00031031" w:rsidRDefault="00031031" w:rsidP="003F49CE">
      <w:pPr>
        <w:pStyle w:val="ListParagraph"/>
        <w:numPr>
          <w:ilvl w:val="0"/>
          <w:numId w:val="25"/>
          <w:numberingChange w:id="25" w:author="Unknown" w:date="2013-11-14T10:11:00Z" w:original=""/>
        </w:numPr>
      </w:pPr>
      <w:r>
        <w:t>Private transfer outflows = Private transfer outflows, inter-household + Private transfer outflows, intra-household.</w:t>
      </w:r>
    </w:p>
    <w:p w:rsidR="00031031" w:rsidRDefault="00031031" w:rsidP="00B866B3">
      <w:r>
        <w:t xml:space="preserve">Two important identities apply across the aggregate sub-accounts: </w:t>
      </w:r>
    </w:p>
    <w:p w:rsidR="00031031" w:rsidRDefault="00031031" w:rsidP="00B866B3">
      <w:pPr>
        <w:pStyle w:val="ListParagraph"/>
        <w:numPr>
          <w:ilvl w:val="0"/>
          <w:numId w:val="23"/>
          <w:numberingChange w:id="26" w:author="Unknown" w:date="2013-11-14T10:11:00Z" w:original=""/>
        </w:numPr>
      </w:pPr>
      <w:r>
        <w:t>Age reallocations = Public age reallocations + Private age reallocations</w:t>
      </w:r>
    </w:p>
    <w:p w:rsidR="00031031" w:rsidRDefault="00031031" w:rsidP="00F915EB">
      <w:pPr>
        <w:pStyle w:val="ListParagraph"/>
        <w:numPr>
          <w:ilvl w:val="0"/>
          <w:numId w:val="23"/>
          <w:numberingChange w:id="27" w:author="Unknown" w:date="2013-11-14T10:11:00Z" w:original=""/>
        </w:numPr>
        <w:sectPr w:rsidR="00031031" w:rsidSect="00F72609">
          <w:footerReference w:type="default" r:id="rId21"/>
          <w:pgSz w:w="12240" w:h="15840"/>
          <w:pgMar w:top="1440" w:right="1440" w:bottom="1440" w:left="1440" w:header="720" w:footer="720" w:gutter="0"/>
          <w:cols w:space="720"/>
          <w:docGrid w:linePitch="360"/>
        </w:sectPr>
      </w:pPr>
      <w:r>
        <w:t>Life cycle deficit = Age reallocation.</w:t>
      </w:r>
    </w:p>
    <w:p w:rsidR="00031031" w:rsidRDefault="00031031" w:rsidP="00580903">
      <w:pPr>
        <w:pStyle w:val="Heading1"/>
      </w:pPr>
    </w:p>
    <w:sectPr w:rsidR="00031031" w:rsidSect="00E54B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A2" w:rsidRDefault="001A36A2" w:rsidP="00247278">
      <w:pPr>
        <w:spacing w:after="0" w:line="240" w:lineRule="auto"/>
      </w:pPr>
      <w:r>
        <w:separator/>
      </w:r>
    </w:p>
  </w:endnote>
  <w:endnote w:type="continuationSeparator" w:id="0">
    <w:p w:rsidR="001A36A2" w:rsidRDefault="001A36A2" w:rsidP="00247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31" w:rsidRDefault="00D00BD1">
    <w:pPr>
      <w:pStyle w:val="Footer"/>
      <w:jc w:val="center"/>
    </w:pPr>
    <w:fldSimple w:instr=" PAGE   \* MERGEFORMAT ">
      <w:r w:rsidR="00E502E9">
        <w:rPr>
          <w:noProof/>
        </w:rPr>
        <w:t>5</w:t>
      </w:r>
    </w:fldSimple>
  </w:p>
  <w:p w:rsidR="00031031" w:rsidRDefault="00031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A2" w:rsidRDefault="001A36A2" w:rsidP="00247278">
      <w:pPr>
        <w:spacing w:after="0" w:line="240" w:lineRule="auto"/>
      </w:pPr>
      <w:r>
        <w:separator/>
      </w:r>
    </w:p>
  </w:footnote>
  <w:footnote w:type="continuationSeparator" w:id="0">
    <w:p w:rsidR="001A36A2" w:rsidRDefault="001A36A2" w:rsidP="00247278">
      <w:pPr>
        <w:spacing w:after="0" w:line="240" w:lineRule="auto"/>
      </w:pPr>
      <w:r>
        <w:continuationSeparator/>
      </w:r>
    </w:p>
  </w:footnote>
  <w:footnote w:id="1">
    <w:p w:rsidR="00031031" w:rsidRDefault="00031031">
      <w:pPr>
        <w:pStyle w:val="FootnoteText"/>
      </w:pPr>
      <w:r>
        <w:rPr>
          <w:rStyle w:val="FootnoteReference"/>
        </w:rPr>
        <w:footnoteRef/>
      </w:r>
      <w:r>
        <w:t xml:space="preserve"> The SNA data were provided by Jan von Tongeren.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4EB"/>
    <w:multiLevelType w:val="hybridMultilevel"/>
    <w:tmpl w:val="AE9A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54277"/>
    <w:multiLevelType w:val="multilevel"/>
    <w:tmpl w:val="54DC11E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DD727A5"/>
    <w:multiLevelType w:val="hybridMultilevel"/>
    <w:tmpl w:val="2034E8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0E503BCE"/>
    <w:multiLevelType w:val="hybridMultilevel"/>
    <w:tmpl w:val="46E096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56239C"/>
    <w:multiLevelType w:val="hybridMultilevel"/>
    <w:tmpl w:val="921E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24791"/>
    <w:multiLevelType w:val="hybridMultilevel"/>
    <w:tmpl w:val="4CF2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E16C2"/>
    <w:multiLevelType w:val="hybridMultilevel"/>
    <w:tmpl w:val="6A8E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B1DAC"/>
    <w:multiLevelType w:val="hybridMultilevel"/>
    <w:tmpl w:val="217CD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716FFB"/>
    <w:multiLevelType w:val="hybridMultilevel"/>
    <w:tmpl w:val="5DD4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61CF0"/>
    <w:multiLevelType w:val="hybridMultilevel"/>
    <w:tmpl w:val="B2D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33F13"/>
    <w:multiLevelType w:val="hybridMultilevel"/>
    <w:tmpl w:val="6174FE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2D4710"/>
    <w:multiLevelType w:val="hybridMultilevel"/>
    <w:tmpl w:val="172670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18C6881"/>
    <w:multiLevelType w:val="hybridMultilevel"/>
    <w:tmpl w:val="C24C98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5713724"/>
    <w:multiLevelType w:val="hybridMultilevel"/>
    <w:tmpl w:val="1C4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1509C"/>
    <w:multiLevelType w:val="hybridMultilevel"/>
    <w:tmpl w:val="172670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184B50"/>
    <w:multiLevelType w:val="hybridMultilevel"/>
    <w:tmpl w:val="F612B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02AF7"/>
    <w:multiLevelType w:val="hybridMultilevel"/>
    <w:tmpl w:val="49CA29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ECF2C41"/>
    <w:multiLevelType w:val="hybridMultilevel"/>
    <w:tmpl w:val="CE4E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62947"/>
    <w:multiLevelType w:val="hybridMultilevel"/>
    <w:tmpl w:val="9D5A05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0711B31"/>
    <w:multiLevelType w:val="hybridMultilevel"/>
    <w:tmpl w:val="BF4C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546B6"/>
    <w:multiLevelType w:val="hybridMultilevel"/>
    <w:tmpl w:val="E8FA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94C2F"/>
    <w:multiLevelType w:val="hybridMultilevel"/>
    <w:tmpl w:val="801636CA"/>
    <w:lvl w:ilvl="0" w:tplc="D4B826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D9B13D6"/>
    <w:multiLevelType w:val="hybridMultilevel"/>
    <w:tmpl w:val="48C043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0EC54C4"/>
    <w:multiLevelType w:val="hybridMultilevel"/>
    <w:tmpl w:val="719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94DB0"/>
    <w:multiLevelType w:val="hybridMultilevel"/>
    <w:tmpl w:val="32CE691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24"/>
  </w:num>
  <w:num w:numId="2">
    <w:abstractNumId w:val="15"/>
  </w:num>
  <w:num w:numId="3">
    <w:abstractNumId w:val="1"/>
  </w:num>
  <w:num w:numId="4">
    <w:abstractNumId w:val="7"/>
  </w:num>
  <w:num w:numId="5">
    <w:abstractNumId w:val="2"/>
  </w:num>
  <w:num w:numId="6">
    <w:abstractNumId w:val="21"/>
  </w:num>
  <w:num w:numId="7">
    <w:abstractNumId w:val="17"/>
  </w:num>
  <w:num w:numId="8">
    <w:abstractNumId w:val="12"/>
  </w:num>
  <w:num w:numId="9">
    <w:abstractNumId w:val="18"/>
  </w:num>
  <w:num w:numId="10">
    <w:abstractNumId w:val="20"/>
  </w:num>
  <w:num w:numId="11">
    <w:abstractNumId w:val="9"/>
  </w:num>
  <w:num w:numId="12">
    <w:abstractNumId w:val="19"/>
  </w:num>
  <w:num w:numId="13">
    <w:abstractNumId w:val="8"/>
  </w:num>
  <w:num w:numId="14">
    <w:abstractNumId w:val="10"/>
  </w:num>
  <w:num w:numId="15">
    <w:abstractNumId w:val="16"/>
  </w:num>
  <w:num w:numId="16">
    <w:abstractNumId w:val="3"/>
  </w:num>
  <w:num w:numId="17">
    <w:abstractNumId w:val="14"/>
  </w:num>
  <w:num w:numId="18">
    <w:abstractNumId w:val="11"/>
  </w:num>
  <w:num w:numId="19">
    <w:abstractNumId w:val="13"/>
  </w:num>
  <w:num w:numId="20">
    <w:abstractNumId w:val="22"/>
  </w:num>
  <w:num w:numId="21">
    <w:abstractNumId w:val="6"/>
  </w:num>
  <w:num w:numId="22">
    <w:abstractNumId w:val="0"/>
  </w:num>
  <w:num w:numId="23">
    <w:abstractNumId w:val="4"/>
  </w:num>
  <w:num w:numId="24">
    <w:abstractNumId w:val="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mbria&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0ftvxai0evemetx2ixp2tmxap29wp5vv5p&quot;&gt;main-Converted&lt;record-ids&gt;&lt;item&gt;462&lt;/item&gt;&lt;item&gt;712&lt;/item&gt;&lt;item&gt;868&lt;/item&gt;&lt;item&gt;1028&lt;/item&gt;&lt;/record-ids&gt;&lt;/item&gt;&lt;/Libraries&gt;"/>
  </w:docVars>
  <w:rsids>
    <w:rsidRoot w:val="00D932E1"/>
    <w:rsid w:val="00001627"/>
    <w:rsid w:val="00002918"/>
    <w:rsid w:val="00002D04"/>
    <w:rsid w:val="00031031"/>
    <w:rsid w:val="00035397"/>
    <w:rsid w:val="00041F74"/>
    <w:rsid w:val="0005036A"/>
    <w:rsid w:val="00051D56"/>
    <w:rsid w:val="00055214"/>
    <w:rsid w:val="000618F6"/>
    <w:rsid w:val="000623AE"/>
    <w:rsid w:val="00062DEC"/>
    <w:rsid w:val="000631A2"/>
    <w:rsid w:val="000648A2"/>
    <w:rsid w:val="00071590"/>
    <w:rsid w:val="00072100"/>
    <w:rsid w:val="00076686"/>
    <w:rsid w:val="00086A22"/>
    <w:rsid w:val="000A4C69"/>
    <w:rsid w:val="000A6E5A"/>
    <w:rsid w:val="000B7CF7"/>
    <w:rsid w:val="000C0EE7"/>
    <w:rsid w:val="000C2422"/>
    <w:rsid w:val="000C5936"/>
    <w:rsid w:val="000D5314"/>
    <w:rsid w:val="000E0CB4"/>
    <w:rsid w:val="000E4EF8"/>
    <w:rsid w:val="000E7694"/>
    <w:rsid w:val="00100533"/>
    <w:rsid w:val="0010091B"/>
    <w:rsid w:val="001109A5"/>
    <w:rsid w:val="00112F0B"/>
    <w:rsid w:val="00114F37"/>
    <w:rsid w:val="00116A8A"/>
    <w:rsid w:val="00125B72"/>
    <w:rsid w:val="00125D9E"/>
    <w:rsid w:val="001308B7"/>
    <w:rsid w:val="00132245"/>
    <w:rsid w:val="001427B6"/>
    <w:rsid w:val="001456F1"/>
    <w:rsid w:val="00145C4A"/>
    <w:rsid w:val="001520B4"/>
    <w:rsid w:val="00153116"/>
    <w:rsid w:val="001538AE"/>
    <w:rsid w:val="00157256"/>
    <w:rsid w:val="00164E2B"/>
    <w:rsid w:val="001662A2"/>
    <w:rsid w:val="001758FE"/>
    <w:rsid w:val="00192D1D"/>
    <w:rsid w:val="001931D2"/>
    <w:rsid w:val="0019470E"/>
    <w:rsid w:val="001A1242"/>
    <w:rsid w:val="001A36A2"/>
    <w:rsid w:val="001A5E48"/>
    <w:rsid w:val="001B531E"/>
    <w:rsid w:val="001B680A"/>
    <w:rsid w:val="001C5CF0"/>
    <w:rsid w:val="001D643E"/>
    <w:rsid w:val="001E6F7B"/>
    <w:rsid w:val="001F0CA0"/>
    <w:rsid w:val="001F19EA"/>
    <w:rsid w:val="001F7D83"/>
    <w:rsid w:val="00202D84"/>
    <w:rsid w:val="0020448B"/>
    <w:rsid w:val="002073D2"/>
    <w:rsid w:val="002077CC"/>
    <w:rsid w:val="00224EEA"/>
    <w:rsid w:val="00232362"/>
    <w:rsid w:val="00235AD4"/>
    <w:rsid w:val="00235CA6"/>
    <w:rsid w:val="00236102"/>
    <w:rsid w:val="002370ED"/>
    <w:rsid w:val="00244254"/>
    <w:rsid w:val="00247278"/>
    <w:rsid w:val="00254EDB"/>
    <w:rsid w:val="00255D3B"/>
    <w:rsid w:val="0026502B"/>
    <w:rsid w:val="0027492A"/>
    <w:rsid w:val="00291488"/>
    <w:rsid w:val="002951B1"/>
    <w:rsid w:val="002963AE"/>
    <w:rsid w:val="002A3E39"/>
    <w:rsid w:val="002A7DBB"/>
    <w:rsid w:val="002B2807"/>
    <w:rsid w:val="002B3CAA"/>
    <w:rsid w:val="002B3E1B"/>
    <w:rsid w:val="002B7EEA"/>
    <w:rsid w:val="002C411C"/>
    <w:rsid w:val="002D73E3"/>
    <w:rsid w:val="002E1B06"/>
    <w:rsid w:val="002E46EC"/>
    <w:rsid w:val="002F5404"/>
    <w:rsid w:val="0030023A"/>
    <w:rsid w:val="00306E41"/>
    <w:rsid w:val="003157BE"/>
    <w:rsid w:val="0032444F"/>
    <w:rsid w:val="00327B75"/>
    <w:rsid w:val="00330442"/>
    <w:rsid w:val="00334BC6"/>
    <w:rsid w:val="00343960"/>
    <w:rsid w:val="0035489F"/>
    <w:rsid w:val="00354A7F"/>
    <w:rsid w:val="00362568"/>
    <w:rsid w:val="00364BBC"/>
    <w:rsid w:val="0036693A"/>
    <w:rsid w:val="0036776B"/>
    <w:rsid w:val="00367CC2"/>
    <w:rsid w:val="0037473F"/>
    <w:rsid w:val="00377C8F"/>
    <w:rsid w:val="00382650"/>
    <w:rsid w:val="003835BC"/>
    <w:rsid w:val="003851D4"/>
    <w:rsid w:val="00385415"/>
    <w:rsid w:val="00390C95"/>
    <w:rsid w:val="00393BC2"/>
    <w:rsid w:val="00396E3F"/>
    <w:rsid w:val="003A29F7"/>
    <w:rsid w:val="003A7008"/>
    <w:rsid w:val="003A7334"/>
    <w:rsid w:val="003B40F1"/>
    <w:rsid w:val="003B6C45"/>
    <w:rsid w:val="003B6DBB"/>
    <w:rsid w:val="003C2061"/>
    <w:rsid w:val="003D36E0"/>
    <w:rsid w:val="003D6E7E"/>
    <w:rsid w:val="003E3683"/>
    <w:rsid w:val="003E695A"/>
    <w:rsid w:val="003F0A9C"/>
    <w:rsid w:val="003F2385"/>
    <w:rsid w:val="003F2A78"/>
    <w:rsid w:val="003F34B5"/>
    <w:rsid w:val="003F49CE"/>
    <w:rsid w:val="003F57E9"/>
    <w:rsid w:val="003F6575"/>
    <w:rsid w:val="003F6968"/>
    <w:rsid w:val="00400E83"/>
    <w:rsid w:val="004054D1"/>
    <w:rsid w:val="00410EFE"/>
    <w:rsid w:val="004113A4"/>
    <w:rsid w:val="00411783"/>
    <w:rsid w:val="00412AF5"/>
    <w:rsid w:val="00423EE3"/>
    <w:rsid w:val="0042438E"/>
    <w:rsid w:val="00434056"/>
    <w:rsid w:val="004400BA"/>
    <w:rsid w:val="004439EE"/>
    <w:rsid w:val="00447197"/>
    <w:rsid w:val="0045089E"/>
    <w:rsid w:val="0045276F"/>
    <w:rsid w:val="00467B59"/>
    <w:rsid w:val="00473183"/>
    <w:rsid w:val="00473E98"/>
    <w:rsid w:val="00474D98"/>
    <w:rsid w:val="00476F05"/>
    <w:rsid w:val="00481D01"/>
    <w:rsid w:val="004926E6"/>
    <w:rsid w:val="00494583"/>
    <w:rsid w:val="004968B1"/>
    <w:rsid w:val="004979A8"/>
    <w:rsid w:val="004A3EB8"/>
    <w:rsid w:val="004A495D"/>
    <w:rsid w:val="004B020A"/>
    <w:rsid w:val="004B201D"/>
    <w:rsid w:val="004B22F1"/>
    <w:rsid w:val="004B2D31"/>
    <w:rsid w:val="004B6FCF"/>
    <w:rsid w:val="004C112C"/>
    <w:rsid w:val="004C23BE"/>
    <w:rsid w:val="004C25B1"/>
    <w:rsid w:val="004C2D44"/>
    <w:rsid w:val="004C5A7F"/>
    <w:rsid w:val="004D235B"/>
    <w:rsid w:val="004E7A9D"/>
    <w:rsid w:val="004E7C75"/>
    <w:rsid w:val="004F007A"/>
    <w:rsid w:val="004F0744"/>
    <w:rsid w:val="004F26D0"/>
    <w:rsid w:val="004F79E6"/>
    <w:rsid w:val="00503DB7"/>
    <w:rsid w:val="005047FD"/>
    <w:rsid w:val="00504A09"/>
    <w:rsid w:val="00510BF6"/>
    <w:rsid w:val="0051147D"/>
    <w:rsid w:val="00511B13"/>
    <w:rsid w:val="00512C41"/>
    <w:rsid w:val="00513387"/>
    <w:rsid w:val="00514BD6"/>
    <w:rsid w:val="00516B25"/>
    <w:rsid w:val="00520C83"/>
    <w:rsid w:val="00525573"/>
    <w:rsid w:val="00536DE9"/>
    <w:rsid w:val="00545A1C"/>
    <w:rsid w:val="00553A2F"/>
    <w:rsid w:val="005570C3"/>
    <w:rsid w:val="00561175"/>
    <w:rsid w:val="0056689A"/>
    <w:rsid w:val="00570A48"/>
    <w:rsid w:val="00571E57"/>
    <w:rsid w:val="00580903"/>
    <w:rsid w:val="005817C5"/>
    <w:rsid w:val="00584D33"/>
    <w:rsid w:val="00587FB6"/>
    <w:rsid w:val="005946A2"/>
    <w:rsid w:val="005950DE"/>
    <w:rsid w:val="00597C02"/>
    <w:rsid w:val="005A49EB"/>
    <w:rsid w:val="005B191C"/>
    <w:rsid w:val="005B4F6C"/>
    <w:rsid w:val="005B673B"/>
    <w:rsid w:val="005B6ACE"/>
    <w:rsid w:val="005C1820"/>
    <w:rsid w:val="005C2466"/>
    <w:rsid w:val="005C41CF"/>
    <w:rsid w:val="005C62B9"/>
    <w:rsid w:val="005D200D"/>
    <w:rsid w:val="005D6EA8"/>
    <w:rsid w:val="005F4481"/>
    <w:rsid w:val="00601AB8"/>
    <w:rsid w:val="00604490"/>
    <w:rsid w:val="00610A73"/>
    <w:rsid w:val="006153D3"/>
    <w:rsid w:val="00624C49"/>
    <w:rsid w:val="006264FA"/>
    <w:rsid w:val="00644906"/>
    <w:rsid w:val="006450E2"/>
    <w:rsid w:val="00653925"/>
    <w:rsid w:val="0066266C"/>
    <w:rsid w:val="00673457"/>
    <w:rsid w:val="00677DDB"/>
    <w:rsid w:val="00681A7E"/>
    <w:rsid w:val="006851E7"/>
    <w:rsid w:val="00693D6B"/>
    <w:rsid w:val="006A60A6"/>
    <w:rsid w:val="006B489E"/>
    <w:rsid w:val="006C3DA4"/>
    <w:rsid w:val="006C4A4B"/>
    <w:rsid w:val="006C52E6"/>
    <w:rsid w:val="006D1D81"/>
    <w:rsid w:val="006D582F"/>
    <w:rsid w:val="006D6909"/>
    <w:rsid w:val="006D691C"/>
    <w:rsid w:val="006E15C6"/>
    <w:rsid w:val="006E4085"/>
    <w:rsid w:val="006E557D"/>
    <w:rsid w:val="006F739C"/>
    <w:rsid w:val="007035C1"/>
    <w:rsid w:val="00710821"/>
    <w:rsid w:val="00713DA3"/>
    <w:rsid w:val="00723202"/>
    <w:rsid w:val="00724498"/>
    <w:rsid w:val="0072468D"/>
    <w:rsid w:val="0072595A"/>
    <w:rsid w:val="007310E8"/>
    <w:rsid w:val="00732807"/>
    <w:rsid w:val="0073402F"/>
    <w:rsid w:val="00735E02"/>
    <w:rsid w:val="0073717D"/>
    <w:rsid w:val="007463D6"/>
    <w:rsid w:val="00754D73"/>
    <w:rsid w:val="00755AF8"/>
    <w:rsid w:val="00763E76"/>
    <w:rsid w:val="00764661"/>
    <w:rsid w:val="00766B38"/>
    <w:rsid w:val="00780AF1"/>
    <w:rsid w:val="00782E97"/>
    <w:rsid w:val="00783821"/>
    <w:rsid w:val="00785E5D"/>
    <w:rsid w:val="00792E18"/>
    <w:rsid w:val="0079644E"/>
    <w:rsid w:val="0079681F"/>
    <w:rsid w:val="007A0422"/>
    <w:rsid w:val="007A2B24"/>
    <w:rsid w:val="007B0F4F"/>
    <w:rsid w:val="007C0017"/>
    <w:rsid w:val="007D7858"/>
    <w:rsid w:val="007E0C07"/>
    <w:rsid w:val="007E11EC"/>
    <w:rsid w:val="007E28E4"/>
    <w:rsid w:val="007F78E9"/>
    <w:rsid w:val="00803276"/>
    <w:rsid w:val="0080334F"/>
    <w:rsid w:val="00803CD0"/>
    <w:rsid w:val="00827A51"/>
    <w:rsid w:val="008337F4"/>
    <w:rsid w:val="008427C7"/>
    <w:rsid w:val="00843E07"/>
    <w:rsid w:val="00850D4A"/>
    <w:rsid w:val="00853623"/>
    <w:rsid w:val="00860D9D"/>
    <w:rsid w:val="00865624"/>
    <w:rsid w:val="00867953"/>
    <w:rsid w:val="00871B2A"/>
    <w:rsid w:val="00874D5B"/>
    <w:rsid w:val="00876A4A"/>
    <w:rsid w:val="00882B68"/>
    <w:rsid w:val="008935C9"/>
    <w:rsid w:val="0089386A"/>
    <w:rsid w:val="00893A55"/>
    <w:rsid w:val="008A195A"/>
    <w:rsid w:val="008A5283"/>
    <w:rsid w:val="008A5FDC"/>
    <w:rsid w:val="008A7D07"/>
    <w:rsid w:val="008C39F7"/>
    <w:rsid w:val="008C4D50"/>
    <w:rsid w:val="008D375B"/>
    <w:rsid w:val="008D6FBE"/>
    <w:rsid w:val="008D7BE9"/>
    <w:rsid w:val="008E04A6"/>
    <w:rsid w:val="008E1089"/>
    <w:rsid w:val="008E293C"/>
    <w:rsid w:val="008F737F"/>
    <w:rsid w:val="00900533"/>
    <w:rsid w:val="00917A1C"/>
    <w:rsid w:val="0092489A"/>
    <w:rsid w:val="00925572"/>
    <w:rsid w:val="009325FC"/>
    <w:rsid w:val="009419DE"/>
    <w:rsid w:val="00942866"/>
    <w:rsid w:val="00945210"/>
    <w:rsid w:val="00955C6E"/>
    <w:rsid w:val="0095624B"/>
    <w:rsid w:val="00960D91"/>
    <w:rsid w:val="00970CBA"/>
    <w:rsid w:val="00974529"/>
    <w:rsid w:val="0097457D"/>
    <w:rsid w:val="009763C4"/>
    <w:rsid w:val="0097739F"/>
    <w:rsid w:val="00982AE3"/>
    <w:rsid w:val="00993ECE"/>
    <w:rsid w:val="00994BAD"/>
    <w:rsid w:val="00997C7F"/>
    <w:rsid w:val="009B735B"/>
    <w:rsid w:val="009C4363"/>
    <w:rsid w:val="009D1CBD"/>
    <w:rsid w:val="009D70D9"/>
    <w:rsid w:val="009E3496"/>
    <w:rsid w:val="009F275E"/>
    <w:rsid w:val="009F7DD2"/>
    <w:rsid w:val="00A0000D"/>
    <w:rsid w:val="00A10D69"/>
    <w:rsid w:val="00A10F6E"/>
    <w:rsid w:val="00A31EA4"/>
    <w:rsid w:val="00A418F3"/>
    <w:rsid w:val="00A42ED8"/>
    <w:rsid w:val="00A46FDE"/>
    <w:rsid w:val="00A56A35"/>
    <w:rsid w:val="00A57FAE"/>
    <w:rsid w:val="00A60BD1"/>
    <w:rsid w:val="00A61855"/>
    <w:rsid w:val="00A7036C"/>
    <w:rsid w:val="00A7082D"/>
    <w:rsid w:val="00A862AA"/>
    <w:rsid w:val="00A96550"/>
    <w:rsid w:val="00A97B75"/>
    <w:rsid w:val="00AA3015"/>
    <w:rsid w:val="00AB6433"/>
    <w:rsid w:val="00AE19CD"/>
    <w:rsid w:val="00AF37DA"/>
    <w:rsid w:val="00B21949"/>
    <w:rsid w:val="00B310CD"/>
    <w:rsid w:val="00B36275"/>
    <w:rsid w:val="00B43C2F"/>
    <w:rsid w:val="00B43D44"/>
    <w:rsid w:val="00B57DC9"/>
    <w:rsid w:val="00B77257"/>
    <w:rsid w:val="00B866B3"/>
    <w:rsid w:val="00B87FCC"/>
    <w:rsid w:val="00B9170F"/>
    <w:rsid w:val="00B9248D"/>
    <w:rsid w:val="00B95759"/>
    <w:rsid w:val="00BA065E"/>
    <w:rsid w:val="00BB7AFC"/>
    <w:rsid w:val="00BC137C"/>
    <w:rsid w:val="00BC7C68"/>
    <w:rsid w:val="00BD523E"/>
    <w:rsid w:val="00BD5D18"/>
    <w:rsid w:val="00BE0A5A"/>
    <w:rsid w:val="00BE6DFD"/>
    <w:rsid w:val="00BF4A66"/>
    <w:rsid w:val="00BF51AA"/>
    <w:rsid w:val="00C11C12"/>
    <w:rsid w:val="00C12160"/>
    <w:rsid w:val="00C15BED"/>
    <w:rsid w:val="00C17813"/>
    <w:rsid w:val="00C2036B"/>
    <w:rsid w:val="00C2325D"/>
    <w:rsid w:val="00C4390E"/>
    <w:rsid w:val="00C43ADF"/>
    <w:rsid w:val="00C57515"/>
    <w:rsid w:val="00C611EC"/>
    <w:rsid w:val="00C7084C"/>
    <w:rsid w:val="00C76E9E"/>
    <w:rsid w:val="00C8318D"/>
    <w:rsid w:val="00C91FD2"/>
    <w:rsid w:val="00C95B99"/>
    <w:rsid w:val="00C9627F"/>
    <w:rsid w:val="00C97FD3"/>
    <w:rsid w:val="00CA30C0"/>
    <w:rsid w:val="00CA58EA"/>
    <w:rsid w:val="00CB164A"/>
    <w:rsid w:val="00CB183E"/>
    <w:rsid w:val="00CB246C"/>
    <w:rsid w:val="00CB2E2E"/>
    <w:rsid w:val="00CB56B2"/>
    <w:rsid w:val="00CC1466"/>
    <w:rsid w:val="00CD1B94"/>
    <w:rsid w:val="00CD5C34"/>
    <w:rsid w:val="00CD7619"/>
    <w:rsid w:val="00CE24DD"/>
    <w:rsid w:val="00CE57DA"/>
    <w:rsid w:val="00CE7292"/>
    <w:rsid w:val="00CF2ED3"/>
    <w:rsid w:val="00CF380A"/>
    <w:rsid w:val="00CF5A83"/>
    <w:rsid w:val="00D00BD1"/>
    <w:rsid w:val="00D02CED"/>
    <w:rsid w:val="00D13968"/>
    <w:rsid w:val="00D17C71"/>
    <w:rsid w:val="00D31775"/>
    <w:rsid w:val="00D35F54"/>
    <w:rsid w:val="00D37216"/>
    <w:rsid w:val="00D3775E"/>
    <w:rsid w:val="00D41B53"/>
    <w:rsid w:val="00D46593"/>
    <w:rsid w:val="00D47D44"/>
    <w:rsid w:val="00D52A66"/>
    <w:rsid w:val="00D64964"/>
    <w:rsid w:val="00D650DC"/>
    <w:rsid w:val="00D653A0"/>
    <w:rsid w:val="00D769C9"/>
    <w:rsid w:val="00D81FF3"/>
    <w:rsid w:val="00D8644E"/>
    <w:rsid w:val="00D92441"/>
    <w:rsid w:val="00D92A18"/>
    <w:rsid w:val="00D932E1"/>
    <w:rsid w:val="00D9493F"/>
    <w:rsid w:val="00DA0846"/>
    <w:rsid w:val="00DB4FB8"/>
    <w:rsid w:val="00DC0C30"/>
    <w:rsid w:val="00DC2B90"/>
    <w:rsid w:val="00DD0850"/>
    <w:rsid w:val="00DD5C34"/>
    <w:rsid w:val="00DE0086"/>
    <w:rsid w:val="00DE1874"/>
    <w:rsid w:val="00DF2A41"/>
    <w:rsid w:val="00DF3B78"/>
    <w:rsid w:val="00E01143"/>
    <w:rsid w:val="00E02A49"/>
    <w:rsid w:val="00E03252"/>
    <w:rsid w:val="00E0679F"/>
    <w:rsid w:val="00E068E8"/>
    <w:rsid w:val="00E121F5"/>
    <w:rsid w:val="00E17F02"/>
    <w:rsid w:val="00E23873"/>
    <w:rsid w:val="00E31301"/>
    <w:rsid w:val="00E402C0"/>
    <w:rsid w:val="00E40A1D"/>
    <w:rsid w:val="00E426FE"/>
    <w:rsid w:val="00E502E9"/>
    <w:rsid w:val="00E50F79"/>
    <w:rsid w:val="00E5483B"/>
    <w:rsid w:val="00E54B52"/>
    <w:rsid w:val="00E57E14"/>
    <w:rsid w:val="00E6214D"/>
    <w:rsid w:val="00E631EE"/>
    <w:rsid w:val="00E70236"/>
    <w:rsid w:val="00E9239C"/>
    <w:rsid w:val="00E92B88"/>
    <w:rsid w:val="00E956D5"/>
    <w:rsid w:val="00EA1A24"/>
    <w:rsid w:val="00EA39A1"/>
    <w:rsid w:val="00EA6483"/>
    <w:rsid w:val="00EB0CB7"/>
    <w:rsid w:val="00EB117C"/>
    <w:rsid w:val="00EB2059"/>
    <w:rsid w:val="00EB26C9"/>
    <w:rsid w:val="00EB404A"/>
    <w:rsid w:val="00EC1633"/>
    <w:rsid w:val="00ED0A47"/>
    <w:rsid w:val="00ED1A98"/>
    <w:rsid w:val="00ED6E62"/>
    <w:rsid w:val="00ED7B82"/>
    <w:rsid w:val="00EE0AF3"/>
    <w:rsid w:val="00EE2AD5"/>
    <w:rsid w:val="00EE40EA"/>
    <w:rsid w:val="00EE48BB"/>
    <w:rsid w:val="00EE599D"/>
    <w:rsid w:val="00EE76D0"/>
    <w:rsid w:val="00EF4B55"/>
    <w:rsid w:val="00F01608"/>
    <w:rsid w:val="00F03A2D"/>
    <w:rsid w:val="00F077C9"/>
    <w:rsid w:val="00F17CA1"/>
    <w:rsid w:val="00F26E94"/>
    <w:rsid w:val="00F322D7"/>
    <w:rsid w:val="00F34D87"/>
    <w:rsid w:val="00F44E36"/>
    <w:rsid w:val="00F50157"/>
    <w:rsid w:val="00F53FEF"/>
    <w:rsid w:val="00F676DD"/>
    <w:rsid w:val="00F713B7"/>
    <w:rsid w:val="00F72609"/>
    <w:rsid w:val="00F7311A"/>
    <w:rsid w:val="00F7627D"/>
    <w:rsid w:val="00F915EB"/>
    <w:rsid w:val="00F9289F"/>
    <w:rsid w:val="00F94069"/>
    <w:rsid w:val="00FA04B5"/>
    <w:rsid w:val="00FB6FDA"/>
    <w:rsid w:val="00FC43F8"/>
    <w:rsid w:val="00FD04DC"/>
    <w:rsid w:val="00FD5272"/>
    <w:rsid w:val="00FE6049"/>
    <w:rsid w:val="00FF0B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1AB8"/>
    <w:pPr>
      <w:spacing w:after="200" w:line="276" w:lineRule="auto"/>
    </w:pPr>
    <w:rPr>
      <w:sz w:val="22"/>
      <w:szCs w:val="22"/>
    </w:rPr>
  </w:style>
  <w:style w:type="paragraph" w:styleId="Heading1">
    <w:name w:val="heading 1"/>
    <w:basedOn w:val="Normal"/>
    <w:next w:val="Normal"/>
    <w:link w:val="Heading1Char"/>
    <w:uiPriority w:val="99"/>
    <w:qFormat/>
    <w:rsid w:val="00D932E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932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932E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A700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4A3EB8"/>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2E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932E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932E1"/>
    <w:rPr>
      <w:rFonts w:ascii="Cambria" w:hAnsi="Cambria" w:cs="Times New Roman"/>
      <w:b/>
      <w:bCs/>
      <w:color w:val="4F81BD"/>
    </w:rPr>
  </w:style>
  <w:style w:type="character" w:customStyle="1" w:styleId="Heading4Char">
    <w:name w:val="Heading 4 Char"/>
    <w:basedOn w:val="DefaultParagraphFont"/>
    <w:link w:val="Heading4"/>
    <w:uiPriority w:val="99"/>
    <w:locked/>
    <w:rsid w:val="003A7008"/>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4A3EB8"/>
    <w:rPr>
      <w:rFonts w:ascii="Cambria" w:hAnsi="Cambria" w:cs="Times New Roman"/>
      <w:color w:val="243F60"/>
    </w:rPr>
  </w:style>
  <w:style w:type="paragraph" w:styleId="BalloonText">
    <w:name w:val="Balloon Text"/>
    <w:basedOn w:val="Normal"/>
    <w:link w:val="BalloonTextChar"/>
    <w:uiPriority w:val="99"/>
    <w:semiHidden/>
    <w:rsid w:val="005C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2B9"/>
    <w:rPr>
      <w:rFonts w:ascii="Tahoma" w:hAnsi="Tahoma" w:cs="Tahoma"/>
      <w:sz w:val="16"/>
      <w:szCs w:val="16"/>
    </w:rPr>
  </w:style>
  <w:style w:type="paragraph" w:styleId="NoSpacing">
    <w:name w:val="No Spacing"/>
    <w:uiPriority w:val="99"/>
    <w:qFormat/>
    <w:rsid w:val="00D932E1"/>
    <w:rPr>
      <w:sz w:val="22"/>
      <w:szCs w:val="22"/>
    </w:rPr>
  </w:style>
  <w:style w:type="table" w:styleId="TableGrid">
    <w:name w:val="Table Grid"/>
    <w:basedOn w:val="TableNormal"/>
    <w:uiPriority w:val="99"/>
    <w:rsid w:val="00553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67B59"/>
    <w:rPr>
      <w:rFonts w:cs="Times New Roman"/>
    </w:rPr>
  </w:style>
  <w:style w:type="character" w:styleId="Hyperlink">
    <w:name w:val="Hyperlink"/>
    <w:basedOn w:val="DefaultParagraphFont"/>
    <w:uiPriority w:val="99"/>
    <w:rsid w:val="00467B59"/>
    <w:rPr>
      <w:rFonts w:cs="Times New Roman"/>
      <w:color w:val="0000FF"/>
      <w:u w:val="single"/>
    </w:rPr>
  </w:style>
  <w:style w:type="paragraph" w:styleId="NormalWeb">
    <w:name w:val="Normal (Web)"/>
    <w:basedOn w:val="Normal"/>
    <w:uiPriority w:val="99"/>
    <w:rsid w:val="00467B59"/>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uiPriority w:val="99"/>
    <w:qFormat/>
    <w:rsid w:val="00467B59"/>
    <w:rPr>
      <w:rFonts w:cs="Times New Roman"/>
      <w:i/>
      <w:iCs/>
    </w:rPr>
  </w:style>
  <w:style w:type="character" w:styleId="Strong">
    <w:name w:val="Strong"/>
    <w:basedOn w:val="DefaultParagraphFont"/>
    <w:uiPriority w:val="99"/>
    <w:qFormat/>
    <w:rsid w:val="00467B59"/>
    <w:rPr>
      <w:rFonts w:cs="Times New Roman"/>
      <w:b/>
      <w:bCs/>
    </w:rPr>
  </w:style>
  <w:style w:type="paragraph" w:customStyle="1" w:styleId="mtdisplayequation">
    <w:name w:val="mtdisplayequation"/>
    <w:basedOn w:val="Normal"/>
    <w:uiPriority w:val="99"/>
    <w:rsid w:val="00467B59"/>
    <w:pPr>
      <w:spacing w:after="0" w:line="240" w:lineRule="auto"/>
    </w:pPr>
    <w:rPr>
      <w:rFonts w:ascii="Times New Roman" w:eastAsia="Batang" w:hAnsi="Times New Roman"/>
      <w:sz w:val="24"/>
      <w:szCs w:val="24"/>
    </w:rPr>
  </w:style>
  <w:style w:type="paragraph" w:styleId="ListParagraph">
    <w:name w:val="List Paragraph"/>
    <w:basedOn w:val="Normal"/>
    <w:uiPriority w:val="99"/>
    <w:qFormat/>
    <w:rsid w:val="00876A4A"/>
    <w:pPr>
      <w:ind w:left="720"/>
      <w:contextualSpacing/>
    </w:pPr>
  </w:style>
  <w:style w:type="character" w:styleId="CommentReference">
    <w:name w:val="annotation reference"/>
    <w:basedOn w:val="DefaultParagraphFont"/>
    <w:uiPriority w:val="99"/>
    <w:semiHidden/>
    <w:rsid w:val="000631A2"/>
    <w:rPr>
      <w:rFonts w:cs="Times New Roman"/>
      <w:sz w:val="16"/>
      <w:szCs w:val="16"/>
    </w:rPr>
  </w:style>
  <w:style w:type="paragraph" w:styleId="CommentText">
    <w:name w:val="annotation text"/>
    <w:basedOn w:val="Normal"/>
    <w:link w:val="CommentTextChar"/>
    <w:uiPriority w:val="99"/>
    <w:semiHidden/>
    <w:rsid w:val="000631A2"/>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631A2"/>
    <w:rPr>
      <w:rFonts w:ascii="Times New Roman" w:eastAsia="MS Mincho" w:hAnsi="Times New Roman" w:cs="Times New Roman"/>
      <w:sz w:val="20"/>
      <w:szCs w:val="20"/>
      <w:lang w:eastAsia="ja-JP"/>
    </w:rPr>
  </w:style>
  <w:style w:type="character" w:styleId="FollowedHyperlink">
    <w:name w:val="FollowedHyperlink"/>
    <w:basedOn w:val="DefaultParagraphFont"/>
    <w:uiPriority w:val="99"/>
    <w:semiHidden/>
    <w:rsid w:val="007E0C07"/>
    <w:rPr>
      <w:rFonts w:cs="Times New Roman"/>
      <w:color w:val="800080"/>
      <w:u w:val="single"/>
    </w:rPr>
  </w:style>
  <w:style w:type="paragraph" w:styleId="CommentSubject">
    <w:name w:val="annotation subject"/>
    <w:basedOn w:val="CommentText"/>
    <w:next w:val="CommentText"/>
    <w:link w:val="CommentSubjectChar"/>
    <w:uiPriority w:val="99"/>
    <w:semiHidden/>
    <w:rsid w:val="004400BA"/>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4400BA"/>
    <w:rPr>
      <w:b/>
      <w:bCs/>
    </w:rPr>
  </w:style>
  <w:style w:type="paragraph" w:styleId="Revision">
    <w:name w:val="Revision"/>
    <w:hidden/>
    <w:uiPriority w:val="99"/>
    <w:semiHidden/>
    <w:rsid w:val="00860D9D"/>
    <w:rPr>
      <w:sz w:val="22"/>
      <w:szCs w:val="22"/>
    </w:rPr>
  </w:style>
  <w:style w:type="character" w:customStyle="1" w:styleId="MTEquationSection">
    <w:name w:val="MTEquationSection"/>
    <w:basedOn w:val="DefaultParagraphFont"/>
    <w:uiPriority w:val="99"/>
    <w:rsid w:val="00525573"/>
    <w:rPr>
      <w:rFonts w:ascii="Arial" w:hAnsi="Arial" w:cs="Arial"/>
      <w:b/>
      <w:bCs/>
      <w:vanish/>
      <w:color w:val="FF0000"/>
    </w:rPr>
  </w:style>
  <w:style w:type="paragraph" w:styleId="Header">
    <w:name w:val="header"/>
    <w:basedOn w:val="Normal"/>
    <w:link w:val="HeaderChar"/>
    <w:uiPriority w:val="99"/>
    <w:rsid w:val="002472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47278"/>
    <w:rPr>
      <w:rFonts w:cs="Times New Roman"/>
    </w:rPr>
  </w:style>
  <w:style w:type="paragraph" w:styleId="Footer">
    <w:name w:val="footer"/>
    <w:basedOn w:val="Normal"/>
    <w:link w:val="FooterChar"/>
    <w:uiPriority w:val="99"/>
    <w:rsid w:val="002472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7278"/>
    <w:rPr>
      <w:rFonts w:cs="Times New Roman"/>
    </w:rPr>
  </w:style>
  <w:style w:type="paragraph" w:styleId="FootnoteText">
    <w:name w:val="footnote text"/>
    <w:basedOn w:val="Normal"/>
    <w:link w:val="FootnoteTextChar"/>
    <w:uiPriority w:val="99"/>
    <w:semiHidden/>
    <w:rsid w:val="007A2B2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2B24"/>
    <w:rPr>
      <w:rFonts w:cs="Times New Roman"/>
      <w:sz w:val="20"/>
      <w:szCs w:val="20"/>
    </w:rPr>
  </w:style>
  <w:style w:type="character" w:styleId="FootnoteReference">
    <w:name w:val="footnote reference"/>
    <w:basedOn w:val="DefaultParagraphFont"/>
    <w:uiPriority w:val="99"/>
    <w:semiHidden/>
    <w:rsid w:val="007A2B24"/>
    <w:rPr>
      <w:rFonts w:cs="Times New Roman"/>
      <w:vertAlign w:val="superscript"/>
    </w:rPr>
  </w:style>
  <w:style w:type="paragraph" w:styleId="EndnoteText">
    <w:name w:val="endnote text"/>
    <w:basedOn w:val="Normal"/>
    <w:link w:val="EndnoteTextChar"/>
    <w:uiPriority w:val="99"/>
    <w:semiHidden/>
    <w:rsid w:val="00481D0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81D01"/>
    <w:rPr>
      <w:rFonts w:cs="Times New Roman"/>
      <w:sz w:val="20"/>
      <w:szCs w:val="20"/>
    </w:rPr>
  </w:style>
  <w:style w:type="character" w:styleId="EndnoteReference">
    <w:name w:val="endnote reference"/>
    <w:basedOn w:val="DefaultParagraphFont"/>
    <w:uiPriority w:val="99"/>
    <w:semiHidden/>
    <w:rsid w:val="00481D01"/>
    <w:rPr>
      <w:rFonts w:cs="Times New Roman"/>
      <w:vertAlign w:val="superscript"/>
    </w:rPr>
  </w:style>
  <w:style w:type="paragraph" w:customStyle="1" w:styleId="MTDisplayEquation0">
    <w:name w:val="MTDisplayEquation"/>
    <w:basedOn w:val="Normal"/>
    <w:next w:val="Normal"/>
    <w:uiPriority w:val="99"/>
    <w:rsid w:val="005B191C"/>
    <w:pPr>
      <w:tabs>
        <w:tab w:val="center" w:pos="4320"/>
        <w:tab w:val="right" w:pos="8640"/>
      </w:tabs>
      <w:spacing w:after="0" w:line="240" w:lineRule="auto"/>
    </w:pPr>
    <w:rPr>
      <w:rFonts w:ascii="Times New Roman" w:eastAsia="MS Mincho" w:hAnsi="Times New Roman"/>
      <w:sz w:val="24"/>
      <w:szCs w:val="24"/>
      <w:lang w:eastAsia="ja-JP"/>
    </w:rPr>
  </w:style>
  <w:style w:type="paragraph" w:styleId="HTMLPreformatted">
    <w:name w:val="HTML Preformatted"/>
    <w:basedOn w:val="Normal"/>
    <w:link w:val="HTMLPreformattedChar"/>
    <w:uiPriority w:val="99"/>
    <w:semiHidden/>
    <w:rsid w:val="00F7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7311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2650320">
      <w:marLeft w:val="0"/>
      <w:marRight w:val="0"/>
      <w:marTop w:val="0"/>
      <w:marBottom w:val="0"/>
      <w:divBdr>
        <w:top w:val="none" w:sz="0" w:space="0" w:color="auto"/>
        <w:left w:val="none" w:sz="0" w:space="0" w:color="auto"/>
        <w:bottom w:val="none" w:sz="0" w:space="0" w:color="auto"/>
        <w:right w:val="none" w:sz="0" w:space="0" w:color="auto"/>
      </w:divBdr>
    </w:div>
    <w:div w:id="102650321">
      <w:marLeft w:val="0"/>
      <w:marRight w:val="0"/>
      <w:marTop w:val="0"/>
      <w:marBottom w:val="0"/>
      <w:divBdr>
        <w:top w:val="none" w:sz="0" w:space="0" w:color="auto"/>
        <w:left w:val="none" w:sz="0" w:space="0" w:color="auto"/>
        <w:bottom w:val="none" w:sz="0" w:space="0" w:color="auto"/>
        <w:right w:val="none" w:sz="0" w:space="0" w:color="auto"/>
      </w:divBdr>
    </w:div>
    <w:div w:id="102650322">
      <w:marLeft w:val="0"/>
      <w:marRight w:val="0"/>
      <w:marTop w:val="0"/>
      <w:marBottom w:val="0"/>
      <w:divBdr>
        <w:top w:val="none" w:sz="0" w:space="0" w:color="auto"/>
        <w:left w:val="none" w:sz="0" w:space="0" w:color="auto"/>
        <w:bottom w:val="none" w:sz="0" w:space="0" w:color="auto"/>
        <w:right w:val="none" w:sz="0" w:space="0" w:color="auto"/>
      </w:divBdr>
    </w:div>
    <w:div w:id="102650323">
      <w:marLeft w:val="0"/>
      <w:marRight w:val="0"/>
      <w:marTop w:val="0"/>
      <w:marBottom w:val="0"/>
      <w:divBdr>
        <w:top w:val="none" w:sz="0" w:space="0" w:color="auto"/>
        <w:left w:val="none" w:sz="0" w:space="0" w:color="auto"/>
        <w:bottom w:val="none" w:sz="0" w:space="0" w:color="auto"/>
        <w:right w:val="none" w:sz="0" w:space="0" w:color="auto"/>
      </w:divBdr>
    </w:div>
    <w:div w:id="102650324">
      <w:marLeft w:val="0"/>
      <w:marRight w:val="0"/>
      <w:marTop w:val="0"/>
      <w:marBottom w:val="0"/>
      <w:divBdr>
        <w:top w:val="none" w:sz="0" w:space="0" w:color="auto"/>
        <w:left w:val="none" w:sz="0" w:space="0" w:color="auto"/>
        <w:bottom w:val="none" w:sz="0" w:space="0" w:color="auto"/>
        <w:right w:val="none" w:sz="0" w:space="0" w:color="auto"/>
      </w:divBdr>
    </w:div>
    <w:div w:id="102650325">
      <w:marLeft w:val="0"/>
      <w:marRight w:val="0"/>
      <w:marTop w:val="0"/>
      <w:marBottom w:val="0"/>
      <w:divBdr>
        <w:top w:val="none" w:sz="0" w:space="0" w:color="auto"/>
        <w:left w:val="none" w:sz="0" w:space="0" w:color="auto"/>
        <w:bottom w:val="none" w:sz="0" w:space="0" w:color="auto"/>
        <w:right w:val="none" w:sz="0" w:space="0" w:color="auto"/>
      </w:divBdr>
    </w:div>
    <w:div w:id="102650326">
      <w:marLeft w:val="0"/>
      <w:marRight w:val="0"/>
      <w:marTop w:val="0"/>
      <w:marBottom w:val="0"/>
      <w:divBdr>
        <w:top w:val="none" w:sz="0" w:space="0" w:color="auto"/>
        <w:left w:val="none" w:sz="0" w:space="0" w:color="auto"/>
        <w:bottom w:val="none" w:sz="0" w:space="0" w:color="auto"/>
        <w:right w:val="none" w:sz="0" w:space="0" w:color="auto"/>
      </w:divBdr>
    </w:div>
    <w:div w:id="102650327">
      <w:marLeft w:val="0"/>
      <w:marRight w:val="0"/>
      <w:marTop w:val="0"/>
      <w:marBottom w:val="0"/>
      <w:divBdr>
        <w:top w:val="none" w:sz="0" w:space="0" w:color="auto"/>
        <w:left w:val="none" w:sz="0" w:space="0" w:color="auto"/>
        <w:bottom w:val="none" w:sz="0" w:space="0" w:color="auto"/>
        <w:right w:val="none" w:sz="0" w:space="0" w:color="auto"/>
      </w:divBdr>
    </w:div>
    <w:div w:id="102650328">
      <w:marLeft w:val="0"/>
      <w:marRight w:val="0"/>
      <w:marTop w:val="0"/>
      <w:marBottom w:val="0"/>
      <w:divBdr>
        <w:top w:val="none" w:sz="0" w:space="0" w:color="auto"/>
        <w:left w:val="none" w:sz="0" w:space="0" w:color="auto"/>
        <w:bottom w:val="none" w:sz="0" w:space="0" w:color="auto"/>
        <w:right w:val="none" w:sz="0" w:space="0" w:color="auto"/>
      </w:divBdr>
    </w:div>
    <w:div w:id="102650329">
      <w:marLeft w:val="0"/>
      <w:marRight w:val="0"/>
      <w:marTop w:val="0"/>
      <w:marBottom w:val="0"/>
      <w:divBdr>
        <w:top w:val="none" w:sz="0" w:space="0" w:color="auto"/>
        <w:left w:val="none" w:sz="0" w:space="0" w:color="auto"/>
        <w:bottom w:val="none" w:sz="0" w:space="0" w:color="auto"/>
        <w:right w:val="none" w:sz="0" w:space="0" w:color="auto"/>
      </w:divBdr>
    </w:div>
    <w:div w:id="102650330">
      <w:marLeft w:val="0"/>
      <w:marRight w:val="0"/>
      <w:marTop w:val="0"/>
      <w:marBottom w:val="0"/>
      <w:divBdr>
        <w:top w:val="none" w:sz="0" w:space="0" w:color="auto"/>
        <w:left w:val="none" w:sz="0" w:space="0" w:color="auto"/>
        <w:bottom w:val="none" w:sz="0" w:space="0" w:color="auto"/>
        <w:right w:val="none" w:sz="0" w:space="0" w:color="auto"/>
      </w:divBdr>
    </w:div>
    <w:div w:id="102650331">
      <w:marLeft w:val="0"/>
      <w:marRight w:val="0"/>
      <w:marTop w:val="0"/>
      <w:marBottom w:val="0"/>
      <w:divBdr>
        <w:top w:val="none" w:sz="0" w:space="0" w:color="auto"/>
        <w:left w:val="none" w:sz="0" w:space="0" w:color="auto"/>
        <w:bottom w:val="none" w:sz="0" w:space="0" w:color="auto"/>
        <w:right w:val="none" w:sz="0" w:space="0" w:color="auto"/>
      </w:divBdr>
    </w:div>
    <w:div w:id="102650332">
      <w:marLeft w:val="0"/>
      <w:marRight w:val="0"/>
      <w:marTop w:val="0"/>
      <w:marBottom w:val="0"/>
      <w:divBdr>
        <w:top w:val="none" w:sz="0" w:space="0" w:color="auto"/>
        <w:left w:val="none" w:sz="0" w:space="0" w:color="auto"/>
        <w:bottom w:val="none" w:sz="0" w:space="0" w:color="auto"/>
        <w:right w:val="none" w:sz="0" w:space="0" w:color="auto"/>
      </w:divBdr>
    </w:div>
    <w:div w:id="102650333">
      <w:marLeft w:val="0"/>
      <w:marRight w:val="0"/>
      <w:marTop w:val="0"/>
      <w:marBottom w:val="0"/>
      <w:divBdr>
        <w:top w:val="none" w:sz="0" w:space="0" w:color="auto"/>
        <w:left w:val="none" w:sz="0" w:space="0" w:color="auto"/>
        <w:bottom w:val="none" w:sz="0" w:space="0" w:color="auto"/>
        <w:right w:val="none" w:sz="0" w:space="0" w:color="auto"/>
      </w:divBdr>
    </w:div>
    <w:div w:id="102650334">
      <w:marLeft w:val="0"/>
      <w:marRight w:val="0"/>
      <w:marTop w:val="0"/>
      <w:marBottom w:val="0"/>
      <w:divBdr>
        <w:top w:val="none" w:sz="0" w:space="0" w:color="auto"/>
        <w:left w:val="none" w:sz="0" w:space="0" w:color="auto"/>
        <w:bottom w:val="none" w:sz="0" w:space="0" w:color="auto"/>
        <w:right w:val="none" w:sz="0" w:space="0" w:color="auto"/>
      </w:divBdr>
    </w:div>
    <w:div w:id="102650335">
      <w:marLeft w:val="0"/>
      <w:marRight w:val="0"/>
      <w:marTop w:val="0"/>
      <w:marBottom w:val="0"/>
      <w:divBdr>
        <w:top w:val="none" w:sz="0" w:space="0" w:color="auto"/>
        <w:left w:val="none" w:sz="0" w:space="0" w:color="auto"/>
        <w:bottom w:val="none" w:sz="0" w:space="0" w:color="auto"/>
        <w:right w:val="none" w:sz="0" w:space="0" w:color="auto"/>
      </w:divBdr>
    </w:div>
    <w:div w:id="102650336">
      <w:marLeft w:val="0"/>
      <w:marRight w:val="0"/>
      <w:marTop w:val="0"/>
      <w:marBottom w:val="0"/>
      <w:divBdr>
        <w:top w:val="none" w:sz="0" w:space="0" w:color="auto"/>
        <w:left w:val="none" w:sz="0" w:space="0" w:color="auto"/>
        <w:bottom w:val="none" w:sz="0" w:space="0" w:color="auto"/>
        <w:right w:val="none" w:sz="0" w:space="0" w:color="auto"/>
      </w:divBdr>
    </w:div>
    <w:div w:id="102650337">
      <w:marLeft w:val="0"/>
      <w:marRight w:val="0"/>
      <w:marTop w:val="0"/>
      <w:marBottom w:val="0"/>
      <w:divBdr>
        <w:top w:val="none" w:sz="0" w:space="0" w:color="auto"/>
        <w:left w:val="none" w:sz="0" w:space="0" w:color="auto"/>
        <w:bottom w:val="none" w:sz="0" w:space="0" w:color="auto"/>
        <w:right w:val="none" w:sz="0" w:space="0" w:color="auto"/>
      </w:divBdr>
    </w:div>
    <w:div w:id="102650338">
      <w:marLeft w:val="0"/>
      <w:marRight w:val="0"/>
      <w:marTop w:val="0"/>
      <w:marBottom w:val="0"/>
      <w:divBdr>
        <w:top w:val="none" w:sz="0" w:space="0" w:color="auto"/>
        <w:left w:val="none" w:sz="0" w:space="0" w:color="auto"/>
        <w:bottom w:val="none" w:sz="0" w:space="0" w:color="auto"/>
        <w:right w:val="none" w:sz="0" w:space="0" w:color="auto"/>
      </w:divBdr>
    </w:div>
    <w:div w:id="102650339">
      <w:marLeft w:val="0"/>
      <w:marRight w:val="0"/>
      <w:marTop w:val="0"/>
      <w:marBottom w:val="0"/>
      <w:divBdr>
        <w:top w:val="none" w:sz="0" w:space="0" w:color="auto"/>
        <w:left w:val="none" w:sz="0" w:space="0" w:color="auto"/>
        <w:bottom w:val="none" w:sz="0" w:space="0" w:color="auto"/>
        <w:right w:val="none" w:sz="0" w:space="0" w:color="auto"/>
      </w:divBdr>
    </w:div>
    <w:div w:id="102650340">
      <w:marLeft w:val="0"/>
      <w:marRight w:val="0"/>
      <w:marTop w:val="0"/>
      <w:marBottom w:val="0"/>
      <w:divBdr>
        <w:top w:val="none" w:sz="0" w:space="0" w:color="auto"/>
        <w:left w:val="none" w:sz="0" w:space="0" w:color="auto"/>
        <w:bottom w:val="none" w:sz="0" w:space="0" w:color="auto"/>
        <w:right w:val="none" w:sz="0" w:space="0" w:color="auto"/>
      </w:divBdr>
    </w:div>
    <w:div w:id="102650341">
      <w:marLeft w:val="0"/>
      <w:marRight w:val="0"/>
      <w:marTop w:val="0"/>
      <w:marBottom w:val="0"/>
      <w:divBdr>
        <w:top w:val="none" w:sz="0" w:space="0" w:color="auto"/>
        <w:left w:val="none" w:sz="0" w:space="0" w:color="auto"/>
        <w:bottom w:val="none" w:sz="0" w:space="0" w:color="auto"/>
        <w:right w:val="none" w:sz="0" w:space="0" w:color="auto"/>
      </w:divBdr>
    </w:div>
    <w:div w:id="102650342">
      <w:marLeft w:val="0"/>
      <w:marRight w:val="0"/>
      <w:marTop w:val="0"/>
      <w:marBottom w:val="0"/>
      <w:divBdr>
        <w:top w:val="none" w:sz="0" w:space="0" w:color="auto"/>
        <w:left w:val="none" w:sz="0" w:space="0" w:color="auto"/>
        <w:bottom w:val="none" w:sz="0" w:space="0" w:color="auto"/>
        <w:right w:val="none" w:sz="0" w:space="0" w:color="auto"/>
      </w:divBdr>
    </w:div>
    <w:div w:id="102650343">
      <w:marLeft w:val="0"/>
      <w:marRight w:val="0"/>
      <w:marTop w:val="0"/>
      <w:marBottom w:val="0"/>
      <w:divBdr>
        <w:top w:val="none" w:sz="0" w:space="0" w:color="auto"/>
        <w:left w:val="none" w:sz="0" w:space="0" w:color="auto"/>
        <w:bottom w:val="none" w:sz="0" w:space="0" w:color="auto"/>
        <w:right w:val="none" w:sz="0" w:space="0" w:color="auto"/>
      </w:divBdr>
    </w:div>
    <w:div w:id="102650344">
      <w:marLeft w:val="0"/>
      <w:marRight w:val="0"/>
      <w:marTop w:val="0"/>
      <w:marBottom w:val="0"/>
      <w:divBdr>
        <w:top w:val="none" w:sz="0" w:space="0" w:color="auto"/>
        <w:left w:val="none" w:sz="0" w:space="0" w:color="auto"/>
        <w:bottom w:val="none" w:sz="0" w:space="0" w:color="auto"/>
        <w:right w:val="none" w:sz="0" w:space="0" w:color="auto"/>
      </w:divBdr>
    </w:div>
    <w:div w:id="102650345">
      <w:marLeft w:val="0"/>
      <w:marRight w:val="0"/>
      <w:marTop w:val="0"/>
      <w:marBottom w:val="0"/>
      <w:divBdr>
        <w:top w:val="none" w:sz="0" w:space="0" w:color="auto"/>
        <w:left w:val="none" w:sz="0" w:space="0" w:color="auto"/>
        <w:bottom w:val="none" w:sz="0" w:space="0" w:color="auto"/>
        <w:right w:val="none" w:sz="0" w:space="0" w:color="auto"/>
      </w:divBdr>
    </w:div>
    <w:div w:id="102650346">
      <w:marLeft w:val="0"/>
      <w:marRight w:val="0"/>
      <w:marTop w:val="0"/>
      <w:marBottom w:val="0"/>
      <w:divBdr>
        <w:top w:val="none" w:sz="0" w:space="0" w:color="auto"/>
        <w:left w:val="none" w:sz="0" w:space="0" w:color="auto"/>
        <w:bottom w:val="none" w:sz="0" w:space="0" w:color="auto"/>
        <w:right w:val="none" w:sz="0" w:space="0" w:color="auto"/>
      </w:divBdr>
    </w:div>
    <w:div w:id="102650347">
      <w:marLeft w:val="0"/>
      <w:marRight w:val="0"/>
      <w:marTop w:val="0"/>
      <w:marBottom w:val="0"/>
      <w:divBdr>
        <w:top w:val="none" w:sz="0" w:space="0" w:color="auto"/>
        <w:left w:val="none" w:sz="0" w:space="0" w:color="auto"/>
        <w:bottom w:val="none" w:sz="0" w:space="0" w:color="auto"/>
        <w:right w:val="none" w:sz="0" w:space="0" w:color="auto"/>
      </w:divBdr>
    </w:div>
    <w:div w:id="102650348">
      <w:marLeft w:val="0"/>
      <w:marRight w:val="0"/>
      <w:marTop w:val="0"/>
      <w:marBottom w:val="0"/>
      <w:divBdr>
        <w:top w:val="none" w:sz="0" w:space="0" w:color="auto"/>
        <w:left w:val="none" w:sz="0" w:space="0" w:color="auto"/>
        <w:bottom w:val="none" w:sz="0" w:space="0" w:color="auto"/>
        <w:right w:val="none" w:sz="0" w:space="0" w:color="auto"/>
      </w:divBdr>
    </w:div>
    <w:div w:id="102650349">
      <w:marLeft w:val="0"/>
      <w:marRight w:val="0"/>
      <w:marTop w:val="0"/>
      <w:marBottom w:val="0"/>
      <w:divBdr>
        <w:top w:val="none" w:sz="0" w:space="0" w:color="auto"/>
        <w:left w:val="none" w:sz="0" w:space="0" w:color="auto"/>
        <w:bottom w:val="none" w:sz="0" w:space="0" w:color="auto"/>
        <w:right w:val="none" w:sz="0" w:space="0" w:color="auto"/>
      </w:divBdr>
    </w:div>
    <w:div w:id="102650350">
      <w:marLeft w:val="0"/>
      <w:marRight w:val="0"/>
      <w:marTop w:val="0"/>
      <w:marBottom w:val="0"/>
      <w:divBdr>
        <w:top w:val="none" w:sz="0" w:space="0" w:color="auto"/>
        <w:left w:val="none" w:sz="0" w:space="0" w:color="auto"/>
        <w:bottom w:val="none" w:sz="0" w:space="0" w:color="auto"/>
        <w:right w:val="none" w:sz="0" w:space="0" w:color="auto"/>
      </w:divBdr>
    </w:div>
    <w:div w:id="102650351">
      <w:marLeft w:val="0"/>
      <w:marRight w:val="0"/>
      <w:marTop w:val="0"/>
      <w:marBottom w:val="0"/>
      <w:divBdr>
        <w:top w:val="none" w:sz="0" w:space="0" w:color="auto"/>
        <w:left w:val="none" w:sz="0" w:space="0" w:color="auto"/>
        <w:bottom w:val="none" w:sz="0" w:space="0" w:color="auto"/>
        <w:right w:val="none" w:sz="0" w:space="0" w:color="auto"/>
      </w:divBdr>
    </w:div>
    <w:div w:id="102650352">
      <w:marLeft w:val="0"/>
      <w:marRight w:val="0"/>
      <w:marTop w:val="0"/>
      <w:marBottom w:val="0"/>
      <w:divBdr>
        <w:top w:val="none" w:sz="0" w:space="0" w:color="auto"/>
        <w:left w:val="none" w:sz="0" w:space="0" w:color="auto"/>
        <w:bottom w:val="none" w:sz="0" w:space="0" w:color="auto"/>
        <w:right w:val="none" w:sz="0" w:space="0" w:color="auto"/>
      </w:divBdr>
    </w:div>
    <w:div w:id="102650353">
      <w:marLeft w:val="0"/>
      <w:marRight w:val="0"/>
      <w:marTop w:val="0"/>
      <w:marBottom w:val="0"/>
      <w:divBdr>
        <w:top w:val="none" w:sz="0" w:space="0" w:color="auto"/>
        <w:left w:val="none" w:sz="0" w:space="0" w:color="auto"/>
        <w:bottom w:val="none" w:sz="0" w:space="0" w:color="auto"/>
        <w:right w:val="none" w:sz="0" w:space="0" w:color="auto"/>
      </w:divBdr>
    </w:div>
    <w:div w:id="102650354">
      <w:marLeft w:val="0"/>
      <w:marRight w:val="0"/>
      <w:marTop w:val="0"/>
      <w:marBottom w:val="0"/>
      <w:divBdr>
        <w:top w:val="none" w:sz="0" w:space="0" w:color="auto"/>
        <w:left w:val="none" w:sz="0" w:space="0" w:color="auto"/>
        <w:bottom w:val="none" w:sz="0" w:space="0" w:color="auto"/>
        <w:right w:val="none" w:sz="0" w:space="0" w:color="auto"/>
      </w:divBdr>
    </w:div>
    <w:div w:id="102650355">
      <w:marLeft w:val="0"/>
      <w:marRight w:val="0"/>
      <w:marTop w:val="0"/>
      <w:marBottom w:val="0"/>
      <w:divBdr>
        <w:top w:val="none" w:sz="0" w:space="0" w:color="auto"/>
        <w:left w:val="none" w:sz="0" w:space="0" w:color="auto"/>
        <w:bottom w:val="none" w:sz="0" w:space="0" w:color="auto"/>
        <w:right w:val="none" w:sz="0" w:space="0" w:color="auto"/>
      </w:divBdr>
    </w:div>
    <w:div w:id="102650356">
      <w:marLeft w:val="0"/>
      <w:marRight w:val="0"/>
      <w:marTop w:val="0"/>
      <w:marBottom w:val="0"/>
      <w:divBdr>
        <w:top w:val="none" w:sz="0" w:space="0" w:color="auto"/>
        <w:left w:val="none" w:sz="0" w:space="0" w:color="auto"/>
        <w:bottom w:val="none" w:sz="0" w:space="0" w:color="auto"/>
        <w:right w:val="none" w:sz="0" w:space="0" w:color="auto"/>
      </w:divBdr>
    </w:div>
    <w:div w:id="102650357">
      <w:marLeft w:val="0"/>
      <w:marRight w:val="0"/>
      <w:marTop w:val="0"/>
      <w:marBottom w:val="0"/>
      <w:divBdr>
        <w:top w:val="none" w:sz="0" w:space="0" w:color="auto"/>
        <w:left w:val="none" w:sz="0" w:space="0" w:color="auto"/>
        <w:bottom w:val="none" w:sz="0" w:space="0" w:color="auto"/>
        <w:right w:val="none" w:sz="0" w:space="0" w:color="auto"/>
      </w:divBdr>
    </w:div>
    <w:div w:id="102650358">
      <w:marLeft w:val="0"/>
      <w:marRight w:val="0"/>
      <w:marTop w:val="0"/>
      <w:marBottom w:val="0"/>
      <w:divBdr>
        <w:top w:val="none" w:sz="0" w:space="0" w:color="auto"/>
        <w:left w:val="none" w:sz="0" w:space="0" w:color="auto"/>
        <w:bottom w:val="none" w:sz="0" w:space="0" w:color="auto"/>
        <w:right w:val="none" w:sz="0" w:space="0" w:color="auto"/>
      </w:divBdr>
    </w:div>
    <w:div w:id="102650359">
      <w:marLeft w:val="0"/>
      <w:marRight w:val="0"/>
      <w:marTop w:val="0"/>
      <w:marBottom w:val="0"/>
      <w:divBdr>
        <w:top w:val="none" w:sz="0" w:space="0" w:color="auto"/>
        <w:left w:val="none" w:sz="0" w:space="0" w:color="auto"/>
        <w:bottom w:val="none" w:sz="0" w:space="0" w:color="auto"/>
        <w:right w:val="none" w:sz="0" w:space="0" w:color="auto"/>
      </w:divBdr>
    </w:div>
    <w:div w:id="102650360">
      <w:marLeft w:val="0"/>
      <w:marRight w:val="0"/>
      <w:marTop w:val="0"/>
      <w:marBottom w:val="0"/>
      <w:divBdr>
        <w:top w:val="none" w:sz="0" w:space="0" w:color="auto"/>
        <w:left w:val="none" w:sz="0" w:space="0" w:color="auto"/>
        <w:bottom w:val="none" w:sz="0" w:space="0" w:color="auto"/>
        <w:right w:val="none" w:sz="0" w:space="0" w:color="auto"/>
      </w:divBdr>
    </w:div>
    <w:div w:id="102650361">
      <w:marLeft w:val="0"/>
      <w:marRight w:val="0"/>
      <w:marTop w:val="0"/>
      <w:marBottom w:val="0"/>
      <w:divBdr>
        <w:top w:val="none" w:sz="0" w:space="0" w:color="auto"/>
        <w:left w:val="none" w:sz="0" w:space="0" w:color="auto"/>
        <w:bottom w:val="none" w:sz="0" w:space="0" w:color="auto"/>
        <w:right w:val="none" w:sz="0" w:space="0" w:color="auto"/>
      </w:divBdr>
    </w:div>
    <w:div w:id="102650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6493</Words>
  <Characters>37011</Characters>
  <Application>Microsoft Office Word</Application>
  <DocSecurity>0</DocSecurity>
  <Lines>308</Lines>
  <Paragraphs>86</Paragraphs>
  <ScaleCrop>false</ScaleCrop>
  <Company/>
  <LinksUpToDate>false</LinksUpToDate>
  <CharactersWithSpaces>43418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17, 2013</dc:title>
  <dc:creator>Andy</dc:creator>
  <cp:lastModifiedBy>tmiller</cp:lastModifiedBy>
  <cp:revision>2</cp:revision>
  <cp:lastPrinted>2013-07-05T21:40:00Z</cp:lastPrinted>
  <dcterms:created xsi:type="dcterms:W3CDTF">2013-11-29T13:49:00Z</dcterms:created>
  <dcterms:modified xsi:type="dcterms:W3CDTF">2013-11-29T13:49:00Z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(4.#E1)</vt:lpwstr>
  </property>
  <property fmtid="{D5CDD505-2E9C-101B-9397-08002B2CF9AE}" pid="5" name="MTCustomEquationNumber">
    <vt:lpwstr>1</vt:lpwstr>
  </property>
</Properties>
</file>